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Continuing Legal Education Written Materials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rtl w:val="0"/>
        </w:rPr>
        <w:t xml:space="preserve">God &amp; Football after Bremerton</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0"/>
          <w:bCs w:val="0"/>
          <w:rtl w:val="0"/>
        </w:rPr>
        <w:t xml:space="preserve">Based on a TalksOnLaw interview discussing Kennedy v. Bremerton School District (2022).</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1. Why Kennedy v. Bremerton Matters</w:t>
      </w:r>
    </w:p>
    <w:p w:rsidR="00000000" w:rsidDel="00000000" w:rsidP="00000000" w:rsidRDefault="00000000" w:rsidRPr="00000000" w14:paraId="00000005">
      <w:pPr>
        <w:rPr/>
      </w:pPr>
      <w:r w:rsidDel="00000000" w:rsidR="00000000" w:rsidRPr="00000000">
        <w:rPr>
          <w:rtl w:val="0"/>
        </w:rPr>
        <w:t xml:space="preserve">Kennedy v. Bremerton School District, 597 U.S. 507 (2022), is one of the Supreme Court’s most significant recent religion-clause decisions. The case involved a public high school football coach who prayed at midfield after games and claimed the school district violated his First Amendment rights when it restricted that conduct. The decision is important not only because of its outcome, but because the Court used the case to substantially reshape Establishment Clause analysis.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majority opinion held that the coach’s post-game prayer was protected private religious expression under the Free Exercise and Free Speech Clauses.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Court rejected the argument that allowing the prayer would necessarily violate the Establishment Clause.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opinion stated that the long-used Lemon v. Kurtzman framework should no longer guide Establishment Clause analysis.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Instead, the Court emphasized a historical-practices-and-understandings approach to Establishment Clause interpretation.</w:t>
      </w:r>
    </w:p>
    <w:p w:rsidR="00000000" w:rsidDel="00000000" w:rsidP="00000000" w:rsidRDefault="00000000" w:rsidRPr="00000000" w14:paraId="0000000A">
      <w:pPr>
        <w:rPr/>
      </w:pPr>
      <w:r w:rsidDel="00000000" w:rsidR="00000000" w:rsidRPr="00000000">
        <w:rPr>
          <w:rtl w:val="0"/>
        </w:rPr>
        <w:t xml:space="preserve">The interview repeatedly frames the case as part of a broader trend in the Court’s religion jurisprudence—particularly a shift toward stronger protection for religious exercise and away from strict separationist approaches.</w:t>
      </w:r>
    </w:p>
    <w:p w:rsidR="00000000" w:rsidDel="00000000" w:rsidP="00000000" w:rsidRDefault="00000000" w:rsidRPr="00000000" w14:paraId="0000000B">
      <w:pPr>
        <w:pStyle w:val="Heading1"/>
        <w:rPr/>
      </w:pPr>
      <w:r w:rsidDel="00000000" w:rsidR="00000000" w:rsidRPr="00000000">
        <w:rPr>
          <w:rtl w:val="0"/>
        </w:rPr>
        <w:t xml:space="preserve">2. Factual Background and Procedural History</w:t>
      </w:r>
    </w:p>
    <w:p w:rsidR="00000000" w:rsidDel="00000000" w:rsidP="00000000" w:rsidRDefault="00000000" w:rsidRPr="00000000" w14:paraId="0000000C">
      <w:pPr>
        <w:rPr/>
      </w:pPr>
      <w:r w:rsidDel="00000000" w:rsidR="00000000" w:rsidRPr="00000000">
        <w:rPr>
          <w:rtl w:val="0"/>
        </w:rPr>
        <w:t xml:space="preserve">The case arose from the conduct of Joseph Kennedy, a football coach employed by the Bremerton School District in Washington state. After football games, Kennedy engaged in brief prayer at the 50-yard line. Over time, some students joined him. The district became concerned that the practice could be perceived as school-endorsed religious activity and directed Kennedy to stop engaging in visible post-game prayer while acting in his official capacity.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district feared potential Establishment Clause liability.</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Kennedy argued the district violated his constitutional rights by restricting his religious exercise and expression.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Lower courts initially sided with the school district.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Supreme Court reversed in a 6–3 decision authored by Justice Gorsuch.</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Justice Sotomayor authored the principal dissent.</w:t>
      </w:r>
    </w:p>
    <w:p w:rsidR="00000000" w:rsidDel="00000000" w:rsidP="00000000" w:rsidRDefault="00000000" w:rsidRPr="00000000" w14:paraId="00000012">
      <w:pPr>
        <w:rPr/>
      </w:pPr>
      <w:r w:rsidDel="00000000" w:rsidR="00000000" w:rsidRPr="00000000">
        <w:rPr>
          <w:rtl w:val="0"/>
        </w:rPr>
        <w:t xml:space="preserve">The interview highlights that many disputes in school-religion law turn on characterization of the facts. Was the prayer private or public? Personal or officially endorsed? Voluntary or coercive? The majority and dissent disagreed sharply about how to characterize the same conduct.</w:t>
      </w:r>
    </w:p>
    <w:p w:rsidR="00000000" w:rsidDel="00000000" w:rsidP="00000000" w:rsidRDefault="00000000" w:rsidRPr="00000000" w14:paraId="00000013">
      <w:pPr>
        <w:pStyle w:val="Heading1"/>
        <w:rPr/>
      </w:pPr>
      <w:r w:rsidDel="00000000" w:rsidR="00000000" w:rsidRPr="00000000">
        <w:rPr>
          <w:rtl w:val="0"/>
        </w:rPr>
        <w:t xml:space="preserve">3. The First Amendment Framework</w:t>
      </w:r>
    </w:p>
    <w:p w:rsidR="00000000" w:rsidDel="00000000" w:rsidP="00000000" w:rsidRDefault="00000000" w:rsidRPr="00000000" w14:paraId="00000014">
      <w:pPr>
        <w:rPr/>
      </w:pPr>
      <w:r w:rsidDel="00000000" w:rsidR="00000000" w:rsidRPr="00000000">
        <w:rPr>
          <w:rtl w:val="0"/>
        </w:rPr>
        <w:t xml:space="preserve">The First Amendment provides that Congress shall make no law respecting an establishment of religion, or prohibiting the free exercise thereof. School-religion cases often involve tension between these two clauses.</w:t>
      </w:r>
    </w:p>
    <w:p w:rsidR="00000000" w:rsidDel="00000000" w:rsidP="00000000" w:rsidRDefault="00000000" w:rsidRPr="00000000" w14:paraId="00000015">
      <w:pPr>
        <w:pStyle w:val="Heading2"/>
        <w:rPr/>
      </w:pPr>
      <w:r w:rsidDel="00000000" w:rsidR="00000000" w:rsidRPr="00000000">
        <w:rPr>
          <w:rtl w:val="0"/>
        </w:rPr>
        <w:t xml:space="preserve">3.1 The Establishment Clause</w:t>
      </w:r>
    </w:p>
    <w:p w:rsidR="00000000" w:rsidDel="00000000" w:rsidP="00000000" w:rsidRDefault="00000000" w:rsidRPr="00000000" w14:paraId="00000016">
      <w:pPr>
        <w:rPr/>
      </w:pPr>
      <w:r w:rsidDel="00000000" w:rsidR="00000000" w:rsidRPr="00000000">
        <w:rPr>
          <w:rtl w:val="0"/>
        </w:rPr>
        <w:t xml:space="preserve">Historically, Establishment Clause doctrine focused on preventing government endorsement, sponsorship, or coercion involving religion. Public schools received especially close scrutiny because students are minors and school officials exercise authority over them.</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Traditional concern: government-sponsored prayer or religious endorsement in schools.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settings raise special coercion concerns because students may feel pressure to participate.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Prior cases often invalidated officially organized prayer activities in public schools.</w:t>
      </w:r>
    </w:p>
    <w:p w:rsidR="00000000" w:rsidDel="00000000" w:rsidP="00000000" w:rsidRDefault="00000000" w:rsidRPr="00000000" w14:paraId="0000001A">
      <w:pPr>
        <w:pStyle w:val="Heading2"/>
        <w:rPr/>
      </w:pPr>
      <w:r w:rsidDel="00000000" w:rsidR="00000000" w:rsidRPr="00000000">
        <w:rPr>
          <w:rtl w:val="0"/>
        </w:rPr>
        <w:t xml:space="preserve">3.2 The Free Exercise Clause</w:t>
      </w:r>
    </w:p>
    <w:p w:rsidR="00000000" w:rsidDel="00000000" w:rsidP="00000000" w:rsidRDefault="00000000" w:rsidRPr="00000000" w14:paraId="0000001B">
      <w:pPr>
        <w:rPr/>
      </w:pPr>
      <w:r w:rsidDel="00000000" w:rsidR="00000000" w:rsidRPr="00000000">
        <w:rPr>
          <w:rtl w:val="0"/>
        </w:rPr>
        <w:t xml:space="preserve">The Free Exercise Clause protects religious belief and practice from discriminatory government burdens. Recent Supreme Court decisions have interpreted the clause broadly, especially where the government excludes religious actors from generally available benefits or opportunities.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Court has increasingly treated religious discrimination similarly to other forms of viewpoint discrimination.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Court has emphasized neutrality toward religion rather than strict secular separation.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interview places Kennedy within a broader line of recent </w:t>
      </w:r>
      <w:r w:rsidDel="00000000" w:rsidR="00000000" w:rsidRPr="00000000">
        <w:rPr>
          <w:rtl w:val="0"/>
        </w:rPr>
        <w:t xml:space="preserve">religious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decisions.</w:t>
      </w:r>
    </w:p>
    <w:p w:rsidR="00000000" w:rsidDel="00000000" w:rsidP="00000000" w:rsidRDefault="00000000" w:rsidRPr="00000000" w14:paraId="0000001F">
      <w:pPr>
        <w:pStyle w:val="Heading1"/>
        <w:rPr/>
      </w:pPr>
      <w:r w:rsidDel="00000000" w:rsidR="00000000" w:rsidRPr="00000000">
        <w:rPr>
          <w:rtl w:val="0"/>
        </w:rPr>
        <w:t xml:space="preserve">4. The Lemon Test and Its Decline</w:t>
      </w:r>
    </w:p>
    <w:p w:rsidR="00000000" w:rsidDel="00000000" w:rsidP="00000000" w:rsidRDefault="00000000" w:rsidRPr="00000000" w14:paraId="00000020">
      <w:pPr>
        <w:rPr/>
      </w:pPr>
      <w:r w:rsidDel="00000000" w:rsidR="00000000" w:rsidRPr="00000000">
        <w:rPr>
          <w:rtl w:val="0"/>
        </w:rPr>
        <w:t xml:space="preserve">One of the most important aspects of Kennedy is the Court’s treatment of the Lemon test from Lemon v. Kurtzman (1971). The interview spends substantial time explaining how Lemon operated and why the Court moved away from it.</w:t>
      </w:r>
    </w:p>
    <w:p w:rsidR="00000000" w:rsidDel="00000000" w:rsidP="00000000" w:rsidRDefault="00000000" w:rsidRPr="00000000" w14:paraId="00000021">
      <w:pPr>
        <w:pStyle w:val="Heading2"/>
        <w:rPr/>
      </w:pPr>
      <w:r w:rsidDel="00000000" w:rsidR="00000000" w:rsidRPr="00000000">
        <w:rPr>
          <w:rtl w:val="0"/>
        </w:rPr>
        <w:t xml:space="preserve">4.1 What the Lemon Test Required</w:t>
      </w:r>
    </w:p>
    <w:p w:rsidR="00000000" w:rsidDel="00000000" w:rsidP="00000000" w:rsidRDefault="00000000" w:rsidRPr="00000000" w14:paraId="00000022">
      <w:pPr>
        <w:rPr/>
      </w:pPr>
      <w:r w:rsidDel="00000000" w:rsidR="00000000" w:rsidRPr="00000000">
        <w:rPr>
          <w:rtl w:val="0"/>
        </w:rPr>
        <w:t xml:space="preserve">Under Lemon, government action generally needed to satisfy three requirements: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action must have a secular legislative purpose.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Its principal or primary effect must neither advance nor inhibit religion.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must not foster excessive government entanglement with religion.</w:t>
      </w:r>
    </w:p>
    <w:p w:rsidR="00000000" w:rsidDel="00000000" w:rsidP="00000000" w:rsidRDefault="00000000" w:rsidRPr="00000000" w14:paraId="00000026">
      <w:pPr>
        <w:rPr/>
      </w:pPr>
      <w:r w:rsidDel="00000000" w:rsidR="00000000" w:rsidRPr="00000000">
        <w:rPr>
          <w:rtl w:val="0"/>
        </w:rPr>
        <w:t xml:space="preserve">Over time, courts and commentators criticized Lemon as unpredictable and difficult to apply consistently. The interview notes that some judges viewed the test as highly malleable because outcomes often depended on how broadly or narrowly courts framed governmental purpose and effect.</w:t>
      </w:r>
    </w:p>
    <w:p w:rsidR="00000000" w:rsidDel="00000000" w:rsidP="00000000" w:rsidRDefault="00000000" w:rsidRPr="00000000" w14:paraId="00000027">
      <w:pPr>
        <w:pStyle w:val="Heading2"/>
        <w:rPr/>
      </w:pPr>
      <w:r w:rsidDel="00000000" w:rsidR="00000000" w:rsidRPr="00000000">
        <w:rPr>
          <w:rtl w:val="0"/>
        </w:rPr>
        <w:t xml:space="preserve">4.2 Kennedy’s Treatment of Lemon</w:t>
      </w:r>
    </w:p>
    <w:p w:rsidR="00000000" w:rsidDel="00000000" w:rsidP="00000000" w:rsidRDefault="00000000" w:rsidRPr="00000000" w14:paraId="00000028">
      <w:pPr>
        <w:rPr/>
      </w:pPr>
      <w:r w:rsidDel="00000000" w:rsidR="00000000" w:rsidRPr="00000000">
        <w:rPr>
          <w:rtl w:val="0"/>
        </w:rPr>
        <w:t xml:space="preserve">The Kennedy majority stated that the Court had long abandoned Lemon and its related endorsement-test offshoots. Instead, Establishment Clause analysis should be guided by historical practices and understandings.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Court emphasized history and tradition rather than multi-factor balancing.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majority rejected the idea that avoiding offense or discomfort alone establishes unconstitutional coercion.</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Court framed the district’s actions as hostility toward religious expression rather than neutrality.</w:t>
      </w:r>
    </w:p>
    <w:p w:rsidR="00000000" w:rsidDel="00000000" w:rsidP="00000000" w:rsidRDefault="00000000" w:rsidRPr="00000000" w14:paraId="0000002C">
      <w:pPr>
        <w:rPr/>
      </w:pPr>
      <w:r w:rsidDel="00000000" w:rsidR="00000000" w:rsidRPr="00000000">
        <w:rPr>
          <w:rtl w:val="0"/>
        </w:rPr>
        <w:t xml:space="preserve">The dissent argued that the majority understated the public and visible nature of the coach’s conduct and minimized the coercive pressures inherent in the school context.</w:t>
      </w:r>
    </w:p>
    <w:p w:rsidR="00000000" w:rsidDel="00000000" w:rsidP="00000000" w:rsidRDefault="00000000" w:rsidRPr="00000000" w14:paraId="0000002D">
      <w:pPr>
        <w:pStyle w:val="Heading1"/>
        <w:rPr/>
      </w:pPr>
      <w:r w:rsidDel="00000000" w:rsidR="00000000" w:rsidRPr="00000000">
        <w:rPr>
          <w:rtl w:val="0"/>
        </w:rPr>
        <w:t xml:space="preserve">5. The Shift Toward a Historical-Tradition Approach</w:t>
      </w:r>
    </w:p>
    <w:p w:rsidR="00000000" w:rsidDel="00000000" w:rsidP="00000000" w:rsidRDefault="00000000" w:rsidRPr="00000000" w14:paraId="0000002E">
      <w:pPr>
        <w:rPr/>
      </w:pPr>
      <w:r w:rsidDel="00000000" w:rsidR="00000000" w:rsidRPr="00000000">
        <w:rPr>
          <w:rtl w:val="0"/>
        </w:rPr>
        <w:t xml:space="preserve">A major theme in the interview is the Court’s broader movement toward history-and-tradition constitutional analysis. Rather than applying abstract balancing tests, the Court increasingly asks whether challenged conduct is consistent with historical understandings of the Establishment Clause.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majority viewed historical practices involving religious expression in public life as constitutionally significant.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Court relied on historical tolerance for religious observance by public officials.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dissent warned that history can be selectively interpreted and may not adequately address modern public-school realities.</w:t>
      </w:r>
    </w:p>
    <w:p w:rsidR="00000000" w:rsidDel="00000000" w:rsidP="00000000" w:rsidRDefault="00000000" w:rsidRPr="00000000" w14:paraId="00000032">
      <w:pPr>
        <w:rPr/>
      </w:pPr>
      <w:r w:rsidDel="00000000" w:rsidR="00000000" w:rsidRPr="00000000">
        <w:rPr>
          <w:rtl w:val="0"/>
        </w:rPr>
        <w:t xml:space="preserve">The interview also notes that historical analysis can be difficult because the nation’s practices and understandings surrounding religion have changed substantially over time.</w:t>
      </w:r>
    </w:p>
    <w:p w:rsidR="00000000" w:rsidDel="00000000" w:rsidP="00000000" w:rsidRDefault="00000000" w:rsidRPr="00000000" w14:paraId="00000033">
      <w:pPr>
        <w:pStyle w:val="Heading1"/>
        <w:rPr/>
      </w:pPr>
      <w:r w:rsidDel="00000000" w:rsidR="00000000" w:rsidRPr="00000000">
        <w:rPr>
          <w:rtl w:val="0"/>
        </w:rPr>
        <w:t xml:space="preserve">6. Coercion and Public Schools</w:t>
      </w:r>
    </w:p>
    <w:p w:rsidR="00000000" w:rsidDel="00000000" w:rsidP="00000000" w:rsidRDefault="00000000" w:rsidRPr="00000000" w14:paraId="00000034">
      <w:pPr>
        <w:rPr/>
      </w:pPr>
      <w:r w:rsidDel="00000000" w:rsidR="00000000" w:rsidRPr="00000000">
        <w:rPr>
          <w:rtl w:val="0"/>
        </w:rPr>
        <w:t xml:space="preserve">The coercion question sits at the center of many school-religion disputes. The interview repeatedly contrasts voluntary private religious exercise with subtle pressure students may experience in school environments.</w:t>
      </w:r>
    </w:p>
    <w:p w:rsidR="00000000" w:rsidDel="00000000" w:rsidP="00000000" w:rsidRDefault="00000000" w:rsidRPr="00000000" w14:paraId="00000035">
      <w:pPr>
        <w:pStyle w:val="Heading2"/>
        <w:rPr/>
      </w:pPr>
      <w:r w:rsidDel="00000000" w:rsidR="00000000" w:rsidRPr="00000000">
        <w:rPr>
          <w:rtl w:val="0"/>
        </w:rPr>
        <w:t xml:space="preserve">6.1 Why Schools Receive Special Scrutiny</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minors and subject to school authority.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Coaches and teachers exercise significant influence over students.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Participation pressures may exist even without formal compulsion.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Athletes may fear social or athletic consequences for declining participation.</w:t>
      </w:r>
    </w:p>
    <w:p w:rsidR="00000000" w:rsidDel="00000000" w:rsidP="00000000" w:rsidRDefault="00000000" w:rsidRPr="00000000" w14:paraId="0000003A">
      <w:pPr>
        <w:rPr/>
      </w:pPr>
      <w:r w:rsidDel="00000000" w:rsidR="00000000" w:rsidRPr="00000000">
        <w:rPr>
          <w:rtl w:val="0"/>
        </w:rPr>
        <w:t xml:space="preserve">The dissent emphasized these realities, arguing that students could reasonably perceive pressure to join the coach’s prayer activity. The majority, by contrast, viewed the prayer as personal religious observance protected by the First Amendment.</w:t>
      </w:r>
    </w:p>
    <w:p w:rsidR="00000000" w:rsidDel="00000000" w:rsidP="00000000" w:rsidRDefault="00000000" w:rsidRPr="00000000" w14:paraId="0000003B">
      <w:pPr>
        <w:pStyle w:val="Heading2"/>
        <w:rPr/>
      </w:pPr>
      <w:r w:rsidDel="00000000" w:rsidR="00000000" w:rsidRPr="00000000">
        <w:rPr>
          <w:rtl w:val="0"/>
        </w:rPr>
        <w:t xml:space="preserve">6.2 Voluntary Participation vs. Coercion</w:t>
      </w:r>
    </w:p>
    <w:p w:rsidR="00000000" w:rsidDel="00000000" w:rsidP="00000000" w:rsidRDefault="00000000" w:rsidRPr="00000000" w14:paraId="0000003C">
      <w:pPr>
        <w:rPr/>
      </w:pPr>
      <w:r w:rsidDel="00000000" w:rsidR="00000000" w:rsidRPr="00000000">
        <w:rPr>
          <w:rtl w:val="0"/>
        </w:rPr>
        <w:t xml:space="preserve">The interview highlights that modern religion-clause disputes often turn on whether participation is truly voluntary. Courts distinguish between: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Government-compelled or officially organized prayer.</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Private religious activity occurring in public settings.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Passive exposure to religious expression.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Direct coercion versus social or psychological pressure.</w:t>
      </w:r>
    </w:p>
    <w:p w:rsidR="00000000" w:rsidDel="00000000" w:rsidP="00000000" w:rsidRDefault="00000000" w:rsidRPr="00000000" w14:paraId="00000041">
      <w:pPr>
        <w:pStyle w:val="Heading1"/>
        <w:rPr/>
      </w:pPr>
      <w:r w:rsidDel="00000000" w:rsidR="00000000" w:rsidRPr="00000000">
        <w:rPr>
          <w:rtl w:val="0"/>
        </w:rPr>
        <w:t xml:space="preserve">7. Related Supreme Court Cases Discussed in the Interview</w:t>
      </w:r>
    </w:p>
    <w:p w:rsidR="00000000" w:rsidDel="00000000" w:rsidP="00000000" w:rsidRDefault="00000000" w:rsidRPr="00000000" w14:paraId="00000042">
      <w:pPr>
        <w:pStyle w:val="Heading2"/>
        <w:rPr/>
      </w:pPr>
      <w:r w:rsidDel="00000000" w:rsidR="00000000" w:rsidRPr="00000000">
        <w:rPr>
          <w:rtl w:val="0"/>
        </w:rPr>
        <w:t xml:space="preserve">7.1 Lemon v. Kurtzman (1971)</w:t>
      </w:r>
    </w:p>
    <w:p w:rsidR="00000000" w:rsidDel="00000000" w:rsidP="00000000" w:rsidRDefault="00000000" w:rsidRPr="00000000" w14:paraId="00000043">
      <w:pPr>
        <w:rPr/>
      </w:pPr>
      <w:r w:rsidDel="00000000" w:rsidR="00000000" w:rsidRPr="00000000">
        <w:rPr>
          <w:rtl w:val="0"/>
        </w:rPr>
        <w:t xml:space="preserve">Lemon established the three-part Lemon test used for decades in Establishment Clause cases. Kennedy is widely viewed as significantly limiting or effectively abandoning Lemon’s central role.</w:t>
      </w:r>
    </w:p>
    <w:p w:rsidR="00000000" w:rsidDel="00000000" w:rsidP="00000000" w:rsidRDefault="00000000" w:rsidRPr="00000000" w14:paraId="00000044">
      <w:pPr>
        <w:pStyle w:val="Heading2"/>
        <w:rPr/>
      </w:pPr>
      <w:r w:rsidDel="00000000" w:rsidR="00000000" w:rsidRPr="00000000">
        <w:rPr>
          <w:rtl w:val="0"/>
        </w:rPr>
        <w:t xml:space="preserve">7.2 Santa Fe Independent School District v. Doe (2000)</w:t>
      </w:r>
    </w:p>
    <w:p w:rsidR="00000000" w:rsidDel="00000000" w:rsidP="00000000" w:rsidRDefault="00000000" w:rsidRPr="00000000" w14:paraId="00000045">
      <w:pPr>
        <w:rPr/>
      </w:pPr>
      <w:r w:rsidDel="00000000" w:rsidR="00000000" w:rsidRPr="00000000">
        <w:rPr>
          <w:rtl w:val="0"/>
        </w:rPr>
        <w:t xml:space="preserve">Santa Fe held that student-led prayer before football games violated the Establishment Clause because the practice occurred within a school-sponsored setting and carried official imprimatur.</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interview contrasts Santa Fe with Kennedy.</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majority distinguished Kennedy as involving personal prayer rather than officially sponsored religious messaging.</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dissent argued the distinction was less meaningful in practice.</w:t>
      </w:r>
    </w:p>
    <w:p w:rsidR="00000000" w:rsidDel="00000000" w:rsidP="00000000" w:rsidRDefault="00000000" w:rsidRPr="00000000" w14:paraId="00000049">
      <w:pPr>
        <w:pStyle w:val="Heading2"/>
        <w:rPr/>
      </w:pPr>
      <w:r w:rsidDel="00000000" w:rsidR="00000000" w:rsidRPr="00000000">
        <w:rPr>
          <w:rtl w:val="0"/>
        </w:rPr>
        <w:t xml:space="preserve">7.3 Tinker v. Des Moines (1969)</w:t>
      </w:r>
    </w:p>
    <w:p w:rsidR="00000000" w:rsidDel="00000000" w:rsidP="00000000" w:rsidRDefault="00000000" w:rsidRPr="00000000" w14:paraId="0000004A">
      <w:pPr>
        <w:rPr/>
      </w:pPr>
      <w:r w:rsidDel="00000000" w:rsidR="00000000" w:rsidRPr="00000000">
        <w:rPr>
          <w:rtl w:val="0"/>
        </w:rPr>
        <w:t xml:space="preserve">Tinker established that students do not shed constitutional rights at the schoolhouse gate. The interview uses Tinker to frame broader free-speech principles in schools.</w:t>
      </w:r>
    </w:p>
    <w:p w:rsidR="00000000" w:rsidDel="00000000" w:rsidP="00000000" w:rsidRDefault="00000000" w:rsidRPr="00000000" w14:paraId="0000004B">
      <w:pPr>
        <w:pStyle w:val="Heading2"/>
        <w:rPr/>
      </w:pPr>
      <w:r w:rsidDel="00000000" w:rsidR="00000000" w:rsidRPr="00000000">
        <w:rPr>
          <w:rtl w:val="0"/>
        </w:rPr>
        <w:t xml:space="preserve">7.4 Carson v. Makin (2022)</w:t>
      </w:r>
    </w:p>
    <w:p w:rsidR="00000000" w:rsidDel="00000000" w:rsidP="00000000" w:rsidRDefault="00000000" w:rsidRPr="00000000" w14:paraId="0000004C">
      <w:pPr>
        <w:rPr/>
      </w:pPr>
      <w:r w:rsidDel="00000000" w:rsidR="00000000" w:rsidRPr="00000000">
        <w:rPr>
          <w:rtl w:val="0"/>
        </w:rPr>
        <w:t xml:space="preserve">Carson held that Maine could not exclude religious schools from an otherwise available tuition-assistance program solely because of their religious character or use. The interview places Kennedy and Carson within the same broader trend favoring religious accommodation.</w:t>
      </w:r>
    </w:p>
    <w:p w:rsidR="00000000" w:rsidDel="00000000" w:rsidP="00000000" w:rsidRDefault="00000000" w:rsidRPr="00000000" w14:paraId="0000004D">
      <w:pPr>
        <w:pStyle w:val="Heading2"/>
        <w:rPr/>
      </w:pPr>
      <w:r w:rsidDel="00000000" w:rsidR="00000000" w:rsidRPr="00000000">
        <w:rPr>
          <w:rtl w:val="0"/>
        </w:rPr>
        <w:t xml:space="preserve">7.5 Trinity Lutheran Church v. Comer (2017)</w:t>
      </w:r>
    </w:p>
    <w:p w:rsidR="00000000" w:rsidDel="00000000" w:rsidP="00000000" w:rsidRDefault="00000000" w:rsidRPr="00000000" w14:paraId="0000004E">
      <w:pPr>
        <w:rPr/>
      </w:pPr>
      <w:r w:rsidDel="00000000" w:rsidR="00000000" w:rsidRPr="00000000">
        <w:rPr>
          <w:rtl w:val="0"/>
        </w:rPr>
        <w:t xml:space="preserve">Trinity Lutheran held that excluding churches from a generally available public-benefit program solely because of religious status violated the Free Exercise Clause.</w:t>
      </w:r>
    </w:p>
    <w:p w:rsidR="00000000" w:rsidDel="00000000" w:rsidP="00000000" w:rsidRDefault="00000000" w:rsidRPr="00000000" w14:paraId="0000004F">
      <w:pPr>
        <w:pStyle w:val="Heading2"/>
        <w:rPr/>
      </w:pPr>
      <w:r w:rsidDel="00000000" w:rsidR="00000000" w:rsidRPr="00000000">
        <w:rPr>
          <w:rtl w:val="0"/>
        </w:rPr>
        <w:t xml:space="preserve">7.6 Shurtleff v. Boston (2022)</w:t>
      </w:r>
    </w:p>
    <w:p w:rsidR="00000000" w:rsidDel="00000000" w:rsidP="00000000" w:rsidRDefault="00000000" w:rsidRPr="00000000" w14:paraId="00000050">
      <w:pPr>
        <w:rPr/>
      </w:pPr>
      <w:r w:rsidDel="00000000" w:rsidR="00000000" w:rsidRPr="00000000">
        <w:rPr>
          <w:rtl w:val="0"/>
        </w:rPr>
        <w:t xml:space="preserve">Shurtleff addressed whether Boston improperly denied a request to fly a Christian flag through a city flag-raising program. The Court concluded the city’s refusal violated the First Amendment because the flag program was not purely government speech.</w:t>
      </w:r>
    </w:p>
    <w:p w:rsidR="00000000" w:rsidDel="00000000" w:rsidP="00000000" w:rsidRDefault="00000000" w:rsidRPr="00000000" w14:paraId="00000051">
      <w:pPr>
        <w:pStyle w:val="Heading1"/>
        <w:rPr/>
      </w:pPr>
      <w:r w:rsidDel="00000000" w:rsidR="00000000" w:rsidRPr="00000000">
        <w:rPr>
          <w:rtl w:val="0"/>
        </w:rPr>
        <w:t xml:space="preserve">8. Current and Continuing Implications of Kennedy</w:t>
      </w:r>
    </w:p>
    <w:p w:rsidR="00000000" w:rsidDel="00000000" w:rsidP="00000000" w:rsidRDefault="00000000" w:rsidRPr="00000000" w14:paraId="00000052">
      <w:pPr>
        <w:rPr/>
      </w:pPr>
      <w:r w:rsidDel="00000000" w:rsidR="00000000" w:rsidRPr="00000000">
        <w:rPr>
          <w:rtl w:val="0"/>
        </w:rPr>
        <w:t xml:space="preserve">As of 2026, Kennedy remains one of the Supreme Court’s leading Establishment Clause precedents. Lower courts continue to grapple with how broadly to apply its historical-tradition framework.</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decision has strengthened arguments for protecting religious expression by public employees in some settings.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Litigants continue to debate how much coercion is required before religious activity becomes unconstitutional in schools.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Courts continue to distinguish between personal expression and officially endorsed religious conduct.</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Kennedy is regularly cited alongside Carson, Trinity Lutheran, and Shurtleff in modern religion-clause litigation.</w:t>
      </w:r>
    </w:p>
    <w:p w:rsidR="00000000" w:rsidDel="00000000" w:rsidP="00000000" w:rsidRDefault="00000000" w:rsidRPr="00000000" w14:paraId="00000057">
      <w:pPr>
        <w:rPr/>
      </w:pPr>
      <w:r w:rsidDel="00000000" w:rsidR="00000000" w:rsidRPr="00000000">
        <w:rPr>
          <w:rtl w:val="0"/>
        </w:rPr>
        <w:t xml:space="preserve">The interview suggests that Kennedy may represent not merely a narrow school-prayer case, but a broader doctrinal realignment in Establishment Clause jurisprudence.</w:t>
      </w:r>
    </w:p>
    <w:p w:rsidR="00000000" w:rsidDel="00000000" w:rsidP="00000000" w:rsidRDefault="00000000" w:rsidRPr="00000000" w14:paraId="00000058">
      <w:pPr>
        <w:pStyle w:val="Heading1"/>
        <w:rPr/>
      </w:pPr>
      <w:r w:rsidDel="00000000" w:rsidR="00000000" w:rsidRPr="00000000">
        <w:rPr>
          <w:rtl w:val="0"/>
        </w:rPr>
        <w:t xml:space="preserve">9. Practical Guidance for Attorneys and School Officials</w:t>
      </w:r>
    </w:p>
    <w:p w:rsidR="00000000" w:rsidDel="00000000" w:rsidP="00000000" w:rsidRDefault="00000000" w:rsidRPr="00000000" w14:paraId="00000059">
      <w:pPr>
        <w:pStyle w:val="Heading2"/>
        <w:rPr/>
      </w:pPr>
      <w:r w:rsidDel="00000000" w:rsidR="00000000" w:rsidRPr="00000000">
        <w:rPr>
          <w:rtl w:val="0"/>
        </w:rPr>
        <w:t xml:space="preserve">9.1 Key Questions for School District Counsel</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conduct private religious expression or government speech?</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participation voluntary, or could students reasonably perceive coercion or pressure?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employee acting within official duties or engaging in personal conduct?</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Would restricting the conduct reflect neutrality toward religion or hostility toward religion?</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evidence exists regarding actual student pressure, participation, or school endorsement?</w:t>
      </w:r>
    </w:p>
    <w:p w:rsidR="00000000" w:rsidDel="00000000" w:rsidP="00000000" w:rsidRDefault="00000000" w:rsidRPr="00000000" w14:paraId="0000005F">
      <w:pPr>
        <w:pStyle w:val="Heading2"/>
        <w:rPr/>
      </w:pPr>
      <w:r w:rsidDel="00000000" w:rsidR="00000000" w:rsidRPr="00000000">
        <w:rPr>
          <w:rtl w:val="0"/>
        </w:rPr>
        <w:t xml:space="preserve">9.2 Litigation and Discovery Considerations</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Document district policies regarding employee speech and religious expression.</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Preserve communications regarding perceived Establishment Clause concerns.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factual records regarding timing, visibility, participation, and supervision.</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Anticipate disputes over whether conduct was private or officially sponsored.</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 how social-media evidence, photographs, and video may shape judicial perception.</w:t>
      </w:r>
    </w:p>
    <w:p w:rsidR="00000000" w:rsidDel="00000000" w:rsidP="00000000" w:rsidRDefault="00000000" w:rsidRPr="00000000" w14:paraId="00000065">
      <w:pPr>
        <w:pStyle w:val="Heading2"/>
        <w:rPr/>
      </w:pPr>
      <w:r w:rsidDel="00000000" w:rsidR="00000000" w:rsidRPr="00000000">
        <w:rPr>
          <w:rtl w:val="0"/>
        </w:rPr>
        <w:t xml:space="preserve">9.3 Advocacy Considerations</w:t>
      </w:r>
    </w:p>
    <w:p w:rsidR="00000000" w:rsidDel="00000000" w:rsidP="00000000" w:rsidRDefault="00000000" w:rsidRPr="00000000" w14:paraId="00000066">
      <w:pPr>
        <w:rPr/>
      </w:pPr>
      <w:r w:rsidDel="00000000" w:rsidR="00000000" w:rsidRPr="00000000">
        <w:rPr>
          <w:rtl w:val="0"/>
        </w:rPr>
        <w:t xml:space="preserve">The interview illustrates how heavily constitutional outcomes can depend on factual framing. Advocates should pay close attention to how conduct is characterized.</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Frame facts carefully and consistently.</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Separate legal coercion from mere exposure to religious expression.</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Distinguish between personal observance and institutional endorsement.</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 historical analogies carefully and specifically.</w:t>
      </w:r>
    </w:p>
    <w:p w:rsidR="00000000" w:rsidDel="00000000" w:rsidP="00000000" w:rsidRDefault="00000000" w:rsidRPr="00000000" w14:paraId="0000006B">
      <w:pPr>
        <w:pStyle w:val="Heading1"/>
        <w:rPr/>
      </w:pPr>
      <w:r w:rsidDel="00000000" w:rsidR="00000000" w:rsidRPr="00000000">
        <w:rPr>
          <w:rtl w:val="0"/>
        </w:rPr>
        <w:t xml:space="preserve">10. Discussion Hypotheticals</w:t>
      </w:r>
    </w:p>
    <w:p w:rsidR="00000000" w:rsidDel="00000000" w:rsidP="00000000" w:rsidRDefault="00000000" w:rsidRPr="00000000" w14:paraId="0000006C">
      <w:pPr>
        <w:pStyle w:val="Heading2"/>
        <w:rPr/>
      </w:pPr>
      <w:r w:rsidDel="00000000" w:rsidR="00000000" w:rsidRPr="00000000">
        <w:rPr>
          <w:rtl w:val="0"/>
        </w:rPr>
        <w:t xml:space="preserve">10.1 Teacher Prayer in Classroom</w:t>
      </w:r>
    </w:p>
    <w:p w:rsidR="00000000" w:rsidDel="00000000" w:rsidP="00000000" w:rsidRDefault="00000000" w:rsidRPr="00000000" w14:paraId="0000006D">
      <w:pPr>
        <w:rPr/>
      </w:pPr>
      <w:r w:rsidDel="00000000" w:rsidR="00000000" w:rsidRPr="00000000">
        <w:rPr>
          <w:rtl w:val="0"/>
        </w:rPr>
        <w:t xml:space="preserve">A teacher silently prays at her desk during a free period while students are present. Several students later begin joining her voluntarily.</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does private expression become school-endorsed activity?</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Would the analysis differ if the teacher invited participation?</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should a school district evaluate coercion concerns?</w:t>
      </w:r>
    </w:p>
    <w:p w:rsidR="00000000" w:rsidDel="00000000" w:rsidP="00000000" w:rsidRDefault="00000000" w:rsidRPr="00000000" w14:paraId="00000071">
      <w:pPr>
        <w:pStyle w:val="Heading2"/>
        <w:rPr/>
      </w:pPr>
      <w:r w:rsidDel="00000000" w:rsidR="00000000" w:rsidRPr="00000000">
        <w:rPr>
          <w:rtl w:val="0"/>
        </w:rPr>
        <w:t xml:space="preserve">10.2 Coach-Led Team Prayer</w:t>
      </w:r>
    </w:p>
    <w:p w:rsidR="00000000" w:rsidDel="00000000" w:rsidP="00000000" w:rsidRDefault="00000000" w:rsidRPr="00000000" w14:paraId="00000072">
      <w:pPr>
        <w:rPr/>
      </w:pPr>
      <w:r w:rsidDel="00000000" w:rsidR="00000000" w:rsidRPr="00000000">
        <w:rPr>
          <w:rtl w:val="0"/>
        </w:rPr>
        <w:t xml:space="preserve">A coach delivers motivational religious remarks immediately before games and encourages players to participate in prayer circles.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does this differ from Kennedy’s post-game personal prayer?</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timing affect coercion analysis?</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Would student participation appear voluntary?</w:t>
      </w:r>
    </w:p>
    <w:p w:rsidR="00000000" w:rsidDel="00000000" w:rsidP="00000000" w:rsidRDefault="00000000" w:rsidRPr="00000000" w14:paraId="00000076">
      <w:pPr>
        <w:pStyle w:val="Heading2"/>
        <w:rPr/>
      </w:pPr>
      <w:r w:rsidDel="00000000" w:rsidR="00000000" w:rsidRPr="00000000">
        <w:rPr>
          <w:rtl w:val="0"/>
        </w:rPr>
        <w:t xml:space="preserve">10.3 Student Religious Speech</w:t>
      </w:r>
    </w:p>
    <w:p w:rsidR="00000000" w:rsidDel="00000000" w:rsidP="00000000" w:rsidRDefault="00000000" w:rsidRPr="00000000" w14:paraId="00000077">
      <w:pPr>
        <w:rPr/>
      </w:pPr>
      <w:r w:rsidDel="00000000" w:rsidR="00000000" w:rsidRPr="00000000">
        <w:rPr>
          <w:rtl w:val="0"/>
        </w:rPr>
        <w:t xml:space="preserve">A student speaker references religion during a graduation address selected through a neutral process.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is student speech attributable to the school?</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do Tinker and Santa Fe interact?</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role does viewpoint neutrality play?</w:t>
      </w:r>
    </w:p>
    <w:p w:rsidR="00000000" w:rsidDel="00000000" w:rsidP="00000000" w:rsidRDefault="00000000" w:rsidRPr="00000000" w14:paraId="0000007B">
      <w:pPr>
        <w:pStyle w:val="Heading1"/>
        <w:rPr/>
      </w:pPr>
      <w:r w:rsidDel="00000000" w:rsidR="00000000" w:rsidRPr="00000000">
        <w:rPr>
          <w:rtl w:val="0"/>
        </w:rPr>
        <w:t xml:space="preserve">11. Resources and Authorities</w:t>
      </w:r>
    </w:p>
    <w:p w:rsidR="00000000" w:rsidDel="00000000" w:rsidP="00000000" w:rsidRDefault="00000000" w:rsidRPr="00000000" w14:paraId="0000007C">
      <w:pPr>
        <w:rPr/>
      </w:pPr>
      <w:r w:rsidDel="00000000" w:rsidR="00000000" w:rsidRPr="00000000">
        <w:rPr>
          <w:rtl w:val="0"/>
        </w:rPr>
        <w:t xml:space="preserve">The following authorities and references were discussed directly or indirectly in the interview and original written materials.</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Kennedy v. Bremerton School District, 597 U.S. 507 (2022).</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Lemon v. Kurtzman, 403 U.S. 602 (1971).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Carson v. Makin, 596 U.S. 767 (2022).</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Shurtleff v. Boston, 596 U.S. 243 (2022).</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Tinker v. Des Moines Independent Community School District, 393 U.S. 503 (1969).</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Santa Fe Independent School District v. Doe, 530 U.S. 290 (2000).</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Locke v. Davey, 540 U.S. 712 (2004).</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Trinity Lutheran Church of Columbia, Inc. v. Comer, 582 U.S. 449 (2017).</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Town of Greece v. Galloway, 572 U.S. 565 (2014).</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Supreme Court opinion: https://www.supremecourt.gov/opinions/21pdf/21-418_i425.pdf</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SCOTUSblog case page and analysis: https://www.scotusblog.com/case-files/cases/kennedy-v-bremerton-school-district/</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Oyez case summary: https://www.oyez.org/cases/2021/21-418</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Lemon Test Explained – TalksOnLaw resource page.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uRiqv/C2cnPeqdTeW+besDvPg==">CgMxLjA4AHIhMVh5aUpLc1lCT3hQUFRLRG5lSXRianpReWJWY3RaVS1H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