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Gun Law after Bruen: The Second Amendment's History-and-Tradition Test</w:t>
      </w:r>
    </w:p>
    <w:p>
      <w:pPr>
        <w:spacing w:after="200"/>
      </w:pPr>
      <w:r>
        <w:rPr>
          <w:rFonts w:ascii="Montserrat" w:cs="Montserrat" w:eastAsia="Montserrat" w:hAnsi="Montserrat"/>
          <w:b/>
          <w:bCs/>
          <w:color w:val="E87722"/>
          <w:sz w:val="24"/>
          <w:szCs w:val="24"/>
        </w:rPr>
        <w:t>Joseph Blocher, Lanty L. Smith '67 Distinguished Professor of Law and Co-Founder and Faculty Director, Duke Center for Firearms Law, Duke University School of Law</w:t>
      </w:r>
    </w:p>
    <w:p>
      <w:pPr>
        <w:pStyle w:val="Heading2"/>
        <w:spacing w:after="120" w:before="240"/>
      </w:pPr>
      <w:r>
        <w:rPr>
          <w:b/>
          <w:bCs/>
        </w:rPr>
        <w:t>Overview</w:t>
      </w:r>
    </w:p>
    <w:p>
      <w:pPr>
        <w:spacing w:after="160"/>
      </w:pPr>
      <w:r>
        <w:t>This program examines New York State Rifle &amp; Pistol Association v. Bruen (2022) and its transformation of Second Amendment doctrine. Professor Joseph Blocher traces the law from District of Columbia v. Heller (2008) and McDonald v. City of Chicago (2010) through the two-step framework developed by the courts of appeals, explains Bruen's holding that New York's "proper cause" licensing requirement was unconstitutional and that courts must evaluate gun regulations by reference to the nation's historical tradition rather than means-end scrutiny, and analyzes the methodological difficulties of a history-based test. The program then reviews the litigation Bruen set in motion, including the Second Circuit's decisions on New York's Concealed Carry Improvement Act, the Supreme Court's clarifying decision in United States v. Rahimi (2024), its 2026 decisions in Wolford v. Lopez and United States v. Hemani, pending review of assault-weapons bans, and the circuit splits over the felon-in-possession ban and sales to 18-to-20-year-olds.</w:t>
      </w:r>
    </w:p>
    <w:p>
      <w:pPr>
        <w:pStyle w:val="Heading2"/>
        <w:spacing w:after="120" w:before="240"/>
      </w:pPr>
      <w:r>
        <w:rPr>
          <w:b/>
          <w:bCs/>
        </w:rPr>
        <w:t>Learning Objectives</w:t>
      </w:r>
    </w:p>
    <w:p>
      <w:pPr>
        <w:pStyle w:val="ListParagraph"/>
        <w:numPr>
          <w:ilvl w:val="0"/>
          <w:numId w:val="1"/>
        </w:numPr>
        <w:spacing w:after="80"/>
      </w:pPr>
      <w:r>
        <w:t>Describe the holdings of Heller, McDonald, and Bruen and the shift from means-end scrutiny to a text, history, and tradition test.</w:t>
      </w:r>
    </w:p>
    <w:p>
      <w:pPr>
        <w:pStyle w:val="ListParagraph"/>
        <w:numPr>
          <w:ilvl w:val="0"/>
          <w:numId w:val="1"/>
        </w:numPr>
        <w:spacing w:after="80"/>
      </w:pPr>
      <w:r>
        <w:t>Explain how courts apply the Bruen framework after Rahimi, including the distinction between a historical "analogue" and a historical "twin" and the role of the principles underlying historical regulations.</w:t>
      </w:r>
    </w:p>
    <w:p>
      <w:pPr>
        <w:pStyle w:val="ListParagraph"/>
        <w:numPr>
          <w:ilvl w:val="0"/>
          <w:numId w:val="1"/>
        </w:numPr>
        <w:spacing w:after="80"/>
      </w:pPr>
      <w:r>
        <w:t>Identify the categories of regulation most affected by Bruen, including public-carry licensing, sensitive-place restrictions, prohibited-person statutes, and restrictions on particular weapons.</w:t>
      </w:r>
    </w:p>
    <w:p>
      <w:pPr>
        <w:pStyle w:val="ListParagraph"/>
        <w:numPr>
          <w:ilvl w:val="0"/>
          <w:numId w:val="1"/>
        </w:numPr>
        <w:spacing w:after="80"/>
      </w:pPr>
      <w:r>
        <w:t>Summarize the Supreme Court's post-Bruen decisions, including Rahimi, Garland v. Cargill, Bondi v. VanDerStok, Wolford v. Lopez, and United States v. Hemani, and the questions pending in the Court's 2026–27 term.</w:t>
      </w:r>
    </w:p>
    <w:p>
      <w:pPr>
        <w:pStyle w:val="ListParagraph"/>
        <w:numPr>
          <w:ilvl w:val="0"/>
          <w:numId w:val="1"/>
        </w:numPr>
        <w:spacing w:after="80"/>
      </w:pPr>
      <w:r>
        <w:t>Evaluate the practical and evidentiary challenges of litigating Second Amendment cases under a history-based standard.</w:t>
      </w:r>
    </w:p>
    <w:p>
      <w:pPr>
        <w:pStyle w:val="Heading2"/>
        <w:spacing w:after="120" w:before="240"/>
      </w:pPr>
      <w:r>
        <w:rPr>
          <w:b/>
          <w:bCs/>
        </w:rPr>
        <w:t>From Heller to Bruen</w:t>
      </w:r>
    </w:p>
    <w:p>
      <w:pPr>
        <w:pStyle w:val="ListParagraph"/>
        <w:numPr>
          <w:ilvl w:val="0"/>
          <w:numId w:val="1"/>
        </w:numPr>
        <w:spacing w:after="80"/>
      </w:pPr>
      <w:r>
        <w:t>District of Columbia v. Heller, 554 U.S. 570 (2008), recognized an individual right to keep and bear arms for self-defense, at least in the home, while identifying "presumptively lawful regulatory measures" such as prohibitions on possession by felons and the mentally ill, laws forbidding firearms in sensitive places, and conditions on commercial sale.</w:t>
      </w:r>
    </w:p>
    <w:p>
      <w:pPr>
        <w:pStyle w:val="ListParagraph"/>
        <w:numPr>
          <w:ilvl w:val="0"/>
          <w:numId w:val="1"/>
        </w:numPr>
        <w:spacing w:after="80"/>
      </w:pPr>
      <w:r>
        <w:t>McDonald v. City of Chicago, 561 U.S. 742 (2010), applied the right to the states through the Fourteenth Amendment.</w:t>
      </w:r>
    </w:p>
    <w:p>
      <w:pPr>
        <w:pStyle w:val="ListParagraph"/>
        <w:numPr>
          <w:ilvl w:val="0"/>
          <w:numId w:val="1"/>
        </w:numPr>
        <w:spacing w:after="80"/>
      </w:pPr>
      <w:r>
        <w:t>Between 2010 and 2022, the courts of appeals uniformly applied a two-step framework: first, whether the regulated conduct fell within the historical scope of the right; second, means-end scrutiny, usually intermediate scrutiny.</w:t>
      </w:r>
    </w:p>
    <w:p>
      <w:pPr>
        <w:pStyle w:val="ListParagraph"/>
        <w:numPr>
          <w:ilvl w:val="0"/>
          <w:numId w:val="1"/>
        </w:numPr>
        <w:spacing w:after="80"/>
      </w:pPr>
      <w:r>
        <w:t>Public-carry regimes: by 2022, most states were "shall-issue" (permits issued upon satisfaction of objective criteria) or permitless; New York and a handful of others were "may-issue," requiring applicants to show a special need.</w:t>
      </w:r>
    </w:p>
    <w:p>
      <w:pPr>
        <w:pStyle w:val="Heading2"/>
        <w:spacing w:after="120" w:before="240"/>
      </w:pPr>
      <w:r>
        <w:rPr>
          <w:b/>
          <w:bCs/>
        </w:rPr>
        <w:t>New York State Rifle &amp; Pistol Association v. Bruen (2022)</w:t>
      </w:r>
    </w:p>
    <w:p>
      <w:pPr>
        <w:pStyle w:val="ListParagraph"/>
        <w:numPr>
          <w:ilvl w:val="0"/>
          <w:numId w:val="1"/>
        </w:numPr>
        <w:spacing w:after="80"/>
      </w:pPr>
      <w:r>
        <w:t>The Court held 6–3 (Thomas, J.) that New York's requirement of "proper cause" for an unrestricted concealed-carry license violated the Second and Fourteenth Amendments. 597 U.S. 1 (2022).</w:t>
      </w:r>
    </w:p>
    <w:p>
      <w:pPr>
        <w:pStyle w:val="ListParagraph"/>
        <w:numPr>
          <w:ilvl w:val="0"/>
          <w:numId w:val="1"/>
        </w:numPr>
        <w:spacing w:after="80"/>
      </w:pPr>
      <w:r>
        <w:t>The Court rejected the two-step framework as "one step too many." When the Second Amendment's plain text covers an individual's conduct, the government must demonstrate that the regulation is consistent with the nation's historical tradition of firearm regulation; courts reason by analogy, asking how and why a regulation burdens the right.</w:t>
      </w:r>
    </w:p>
    <w:p>
      <w:pPr>
        <w:pStyle w:val="ListParagraph"/>
        <w:numPr>
          <w:ilvl w:val="0"/>
          <w:numId w:val="1"/>
        </w:numPr>
        <w:spacing w:after="80"/>
      </w:pPr>
      <w:r>
        <w:t>Justice Kavanaugh, joined by Chief Justice Roberts, concurred to emphasize that shall-issue licensing regimes remain permissible and to reaffirm Heller's list of presumptively lawful measures. Justice Breyer dissented, citing the public health toll of firearms.</w:t>
      </w:r>
    </w:p>
    <w:p>
      <w:pPr>
        <w:pStyle w:val="ListParagraph"/>
        <w:numPr>
          <w:ilvl w:val="0"/>
          <w:numId w:val="1"/>
        </w:numPr>
        <w:spacing w:after="80"/>
      </w:pPr>
      <w:r>
        <w:t>Professor Blocher's critiques: the test offers no mechanism for weighing contemporary costs and benefits; historical analogies are manipulable; the historical record varies by region and era; and modern categories of regulation (domestic violence, felon status) lack direct founding-era counterparts. The Duke Center for Firearms Law's Repository of Historical Gun Laws collects more than 1,600 laws through 1934.</w:t>
      </w:r>
    </w:p>
    <w:p>
      <w:pPr>
        <w:pStyle w:val="Heading2"/>
        <w:spacing w:after="120" w:before="240"/>
      </w:pPr>
      <w:r>
        <w:rPr>
          <w:b/>
          <w:bCs/>
        </w:rPr>
        <w:t>Rahimi and the Clarified Test</w:t>
      </w:r>
    </w:p>
    <w:p>
      <w:pPr>
        <w:pStyle w:val="ListParagraph"/>
        <w:numPr>
          <w:ilvl w:val="0"/>
          <w:numId w:val="1"/>
        </w:numPr>
        <w:spacing w:after="80"/>
      </w:pPr>
      <w:r>
        <w:t>United States v. Rahimi, 602 U.S. 680 (2024): the Court upheld 18 U.S.C. § 922(g)(8), which bars firearm possession by persons subject to domestic-violence restraining orders, 8–1 (Roberts, C.J.). The Court explained that Bruen requires a historical analogue, not a historical twin, and that the question is whether a modern regulation is "relevantly similar" in principle to historical practice. Surety and "going armed" laws supplied the relevant tradition of disarming individuals who pose a credible threat to others.</w:t>
      </w:r>
    </w:p>
    <w:p>
      <w:pPr>
        <w:pStyle w:val="ListParagraph"/>
        <w:numPr>
          <w:ilvl w:val="0"/>
          <w:numId w:val="1"/>
        </w:numPr>
        <w:spacing w:after="80"/>
      </w:pPr>
      <w:r>
        <w:t>Garland v. Cargill, 602 U.S. 406 (2024): a statutory case holding that ATF exceeded its authority in classifying bump stocks as machineguns.</w:t>
      </w:r>
    </w:p>
    <w:p>
      <w:pPr>
        <w:pStyle w:val="ListParagraph"/>
        <w:numPr>
          <w:ilvl w:val="0"/>
          <w:numId w:val="1"/>
        </w:numPr>
        <w:spacing w:after="80"/>
      </w:pPr>
      <w:r>
        <w:t>Bondi v. VanDerStok, 604 U.S. ___ (2025): the Court upheld, 7–2, ATF's rule treating certain weapon parts kits and unfinished frames ("ghost guns") as firearms under the Gun Control Act.</w:t>
      </w:r>
    </w:p>
    <w:p>
      <w:pPr>
        <w:pStyle w:val="Heading2"/>
        <w:spacing w:after="120" w:before="240"/>
      </w:pPr>
      <w:r>
        <w:rPr>
          <w:b/>
          <w:bCs/>
        </w:rPr>
        <w:t>Public Carry and Sensitive Places after Bruen</w:t>
      </w:r>
    </w:p>
    <w:p>
      <w:pPr>
        <w:pStyle w:val="ListParagraph"/>
        <w:numPr>
          <w:ilvl w:val="0"/>
          <w:numId w:val="1"/>
        </w:numPr>
        <w:spacing w:after="80"/>
      </w:pPr>
      <w:r>
        <w:t>New York's Concealed Carry Improvement Act (2022) replaced "proper cause" with objective criteria and a "good moral character" standard, added training requirements, and designated extensive sensitive places. In Antonyuk v. James, 89 F.4th 271 (2d Cir. 2023), vacated and remanded in light of Rahimi, reaffirmed on remand, 120 F.4th 941 (2d Cir. 2024), the Second Circuit upheld nearly all of the Act, enjoining only the social-media disclosure requirement and the default rule barring carry on private property open to the public. Certiorari was denied in April 2025.</w:t>
      </w:r>
    </w:p>
    <w:p>
      <w:pPr>
        <w:pStyle w:val="ListParagraph"/>
        <w:numPr>
          <w:ilvl w:val="0"/>
          <w:numId w:val="1"/>
        </w:numPr>
        <w:spacing w:after="80"/>
      </w:pPr>
      <w:r>
        <w:t>Wolford v. Lopez (U.S. June 25, 2026): the Court held 6–3 (Alito, J.) that Hawaii's rule prohibiting licensed carriers from entering private property open to the public without the owner's express consent violated the Second Amendment, a ruling with implications for similar provisions in New York, New Jersey, California, and Maryland.</w:t>
      </w:r>
    </w:p>
    <w:p>
      <w:pPr>
        <w:pStyle w:val="ListParagraph"/>
        <w:numPr>
          <w:ilvl w:val="0"/>
          <w:numId w:val="1"/>
        </w:numPr>
        <w:spacing w:after="80"/>
      </w:pPr>
      <w:r>
        <w:t>Permitless ("constitutional") carry is now the law in 29 states. Twenty-one states and the District of Columbia have extreme-risk protection order ("red flag") laws, supported in part by funding under the Bipartisan Safer Communities Act of 2022.</w:t>
      </w:r>
    </w:p>
    <w:p>
      <w:pPr>
        <w:pStyle w:val="Heading2"/>
        <w:spacing w:after="120" w:before="240"/>
      </w:pPr>
      <w:r>
        <w:rPr>
          <w:b/>
          <w:bCs/>
        </w:rPr>
        <w:t>Prohibited Persons and Weapons Restrictions</w:t>
      </w:r>
    </w:p>
    <w:p>
      <w:pPr>
        <w:pStyle w:val="ListParagraph"/>
        <w:numPr>
          <w:ilvl w:val="0"/>
          <w:numId w:val="1"/>
        </w:numPr>
        <w:spacing w:after="80"/>
      </w:pPr>
      <w:r>
        <w:t>United States v. Hemani (U.S. June 18, 2026): the Court held that 18 U.S.C. § 922(g)(3), which bars firearm possession by unlawful users of controlled substances, cannot constitutionally be applied to a person on the basis of regular marijuana use alone.</w:t>
      </w:r>
    </w:p>
    <w:p>
      <w:pPr>
        <w:pStyle w:val="ListParagraph"/>
        <w:numPr>
          <w:ilvl w:val="0"/>
          <w:numId w:val="1"/>
        </w:numPr>
        <w:spacing w:after="80"/>
      </w:pPr>
      <w:r>
        <w:t>Felon-in-possession, 18 U.S.C. § 922(g)(1): the en banc Third Circuit in Range v. Attorney General, 124 F.4th 218 (3d Cir. 2024), held the statute unconstitutional as applied to a person convicted of a nonviolent food-stamp fraud offense, creating a split with circuits that reject as-applied challenges. The Supreme Court denied certiorari in several such cases in 2026; a government petition remains pending.</w:t>
      </w:r>
    </w:p>
    <w:p>
      <w:pPr>
        <w:pStyle w:val="ListParagraph"/>
        <w:numPr>
          <w:ilvl w:val="0"/>
          <w:numId w:val="1"/>
        </w:numPr>
        <w:spacing w:after="80"/>
      </w:pPr>
      <w:r>
        <w:t>Sales to 18-to-20-year-olds: the Fifth Circuit in Reese v. ATF (2025) held the federal ban on handgun sales by licensed dealers to adults under 21 unconstitutional as applied; other circuits have upheld age-based restrictions. The Supreme Court denied review in June 2026.</w:t>
      </w:r>
    </w:p>
    <w:p>
      <w:pPr>
        <w:pStyle w:val="ListParagraph"/>
        <w:numPr>
          <w:ilvl w:val="0"/>
          <w:numId w:val="1"/>
        </w:numPr>
        <w:spacing w:after="80"/>
      </w:pPr>
      <w:r>
        <w:t>Assault weapons and magazines: after denying certiorari in Snope v. Brown and Ocean State Tactical in June 2025 (with Justice Kavanaugh indicating the Court should address the issue soon), the Court granted certiorari on June 30, 2026 in Viramontes v. Cook County and Grant v. Higgins to decide whether the Second Amendment protects AR-15-style rifles. The en banc Third Circuit struck down New Jersey's magazine limit in July 2026, deepening the split. A decision is expected by June 2027.</w:t>
      </w:r>
    </w:p>
    <w:p>
      <w:pPr>
        <w:pStyle w:val="Heading2"/>
        <w:spacing w:after="120" w:before="240"/>
      </w:pPr>
      <w:r>
        <w:rPr>
          <w:b/>
          <w:bCs/>
        </w:rPr>
        <w:t>Developments to Know</w:t>
      </w:r>
    </w:p>
    <w:p>
      <w:pPr>
        <w:pStyle w:val="ListParagraph"/>
        <w:numPr>
          <w:ilvl w:val="0"/>
          <w:numId w:val="1"/>
        </w:numPr>
        <w:spacing w:after="80"/>
      </w:pPr>
      <w:r>
        <w:t>Executive branch: Executive Order 14206 (February 2025) directed a review of federal firearms policies; the Attorney General created a Second Amendment Task Force in April 2025, and the Civil Rights Division opened a Second Amendment Rights Section in December 2025 to challenge state and local restrictions.</w:t>
      </w:r>
    </w:p>
    <w:p>
      <w:pPr>
        <w:pStyle w:val="ListParagraph"/>
        <w:numPr>
          <w:ilvl w:val="0"/>
          <w:numId w:val="1"/>
        </w:numPr>
        <w:spacing w:after="80"/>
      </w:pPr>
      <w:r>
        <w:t>Bipartisan Safer Communities Act (June 25, 2022): enhanced background checks for purchasers under 21, funding for state crisis-intervention programs including red-flag laws, partial closure of the "boyfriend loophole," and new federal straw-purchase and trafficking offenses.</w:t>
      </w:r>
    </w:p>
    <w:p>
      <w:pPr>
        <w:pStyle w:val="ListParagraph"/>
        <w:numPr>
          <w:ilvl w:val="0"/>
          <w:numId w:val="1"/>
        </w:numPr>
        <w:spacing w:after="80"/>
      </w:pPr>
      <w:r>
        <w:t>Firearm deaths: CDC data show total gun deaths peaked at about 48,800 in 2021 and fell to about 44,400 in 2024, with firearm homicides declining and firearm suicides reaching record levels.</w:t>
      </w:r>
    </w:p>
    <w:p>
      <w:pPr>
        <w:pStyle w:val="ListParagraph"/>
        <w:numPr>
          <w:ilvl w:val="0"/>
          <w:numId w:val="1"/>
        </w:numPr>
        <w:spacing w:after="80"/>
      </w:pPr>
      <w:r>
        <w:t>Professor Blocher's related work includes The Second Amendment: Gun Rights and Regulation (Foundation Press 2025, with Darrell Miller, Jacob Charles, and Jody Madeira) and "Bruen in a Changing Judiciary," 74 Duke L.J. Online 139 (2025). His TalksOnLaw interview Gun Rights under Rahimi &amp; Cargill covers the Court's 2024 decisions in more detail.</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