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A Credibility Gap in Cases of Rape</w:t>
      </w:r>
    </w:p>
    <w:p>
      <w:pPr>
        <w:spacing w:after="200"/>
      </w:pPr>
      <w:r>
        <w:rPr>
          <w:rFonts w:ascii="Montserrat" w:cs="Montserrat" w:eastAsia="Montserrat" w:hAnsi="Montserrat"/>
          <w:b/>
          <w:bCs/>
          <w:color w:val="E87722"/>
          <w:sz w:val="24"/>
          <w:szCs w:val="24"/>
        </w:rPr>
        <w:t xml:space="preserve">Prof. Deborah Tuerkheimer</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how judgments about credibility shape the handling of rape and sexual assault allegations, from the first report to police through trial and campus proceedings. Topics include the "credibility discount" and "credibility inflation"; false allegations and the gap between their incidence and public perception; trauma, memory, and investigation; police unfounding and case attrition; the historical corroboration, prompt-complaint, and cautionary-instruction rules; force, resistance, and the definition of consent; intoxication and incapacity; the marital exemption and its remnants; evidence of dress and sexual history; campus procedures under Title IX; restorative justice; and recent developments, including the American Law Institute's revision of Model Penal Code Article 213. The discussion involves descriptions of sexual violence.</w:t>
      </w:r>
    </w:p>
    <w:p>
      <w:pPr>
        <w:pStyle w:val="Heading2"/>
        <w:spacing w:after="120" w:before="240"/>
      </w:pPr>
      <w:r>
        <w:rPr>
          <w:b/>
          <w:bCs/>
        </w:rPr>
        <w:t xml:space="preserve">Learning Objectives</w:t>
      </w:r>
    </w:p>
    <w:p>
      <w:pPr>
        <w:pStyle w:val="ListParagraph"/>
        <w:numPr>
          <w:ilvl w:val="0"/>
          <w:numId w:val="1"/>
        </w:numPr>
        <w:spacing w:after="80"/>
      </w:pPr>
      <w:r>
        <w:t xml:space="preserve">Define the credibility discount and its two components, trustworthiness and plausibility, and explain how it can affect each stage of a sexual assault case.</w:t>
      </w:r>
    </w:p>
    <w:p>
      <w:pPr>
        <w:pStyle w:val="ListParagraph"/>
        <w:numPr>
          <w:ilvl w:val="0"/>
          <w:numId w:val="1"/>
        </w:numPr>
        <w:spacing w:after="80"/>
      </w:pPr>
      <w:r>
        <w:t xml:space="preserve">Describe the historical corroboration, prompt-complaint, and cautionary-instruction rules, including their codification in the 1962 Model Penal Code, and identify their remaining vestiges.</w:t>
      </w:r>
    </w:p>
    <w:p>
      <w:pPr>
        <w:pStyle w:val="ListParagraph"/>
        <w:numPr>
          <w:ilvl w:val="0"/>
          <w:numId w:val="1"/>
        </w:numPr>
        <w:spacing w:after="80"/>
      </w:pPr>
      <w:r>
        <w:t xml:space="preserve">Compare approaches to force, resistance, and consent, including verbal-resistance, affirmative-consent, and the revised Model Penal Code approaches.</w:t>
      </w:r>
    </w:p>
    <w:p>
      <w:pPr>
        <w:pStyle w:val="ListParagraph"/>
        <w:numPr>
          <w:ilvl w:val="0"/>
          <w:numId w:val="1"/>
        </w:numPr>
        <w:spacing w:after="80"/>
      </w:pPr>
      <w:r>
        <w:t xml:space="preserve">Analyze how statutes treat voluntarily and involuntarily intoxicated victims and spouses, and summarize recent reforms.</w:t>
      </w:r>
    </w:p>
    <w:p>
      <w:pPr>
        <w:pStyle w:val="ListParagraph"/>
        <w:numPr>
          <w:ilvl w:val="0"/>
          <w:numId w:val="1"/>
        </w:numPr>
        <w:spacing w:after="80"/>
      </w:pPr>
      <w:r>
        <w:t xml:space="preserve">Apply the limits on evidence of a complainant's sexual history and dress under rape shield rules, Title VII doctrine, and lawyers' ethical duties.</w:t>
      </w:r>
    </w:p>
    <w:p>
      <w:pPr>
        <w:pStyle w:val="ListParagraph"/>
        <w:numPr>
          <w:ilvl w:val="0"/>
          <w:numId w:val="1"/>
        </w:numPr>
        <w:spacing w:after="80"/>
      </w:pPr>
      <w:r>
        <w:t xml:space="preserve">Summarize the current Title IX framework for campus proceedings, the role of informal and restorative resolution, and the competing concerns of complainants and respondents.</w:t>
      </w:r>
    </w:p>
    <w:p>
      <w:pPr>
        <w:pStyle w:val="Heading2"/>
        <w:spacing w:after="120" w:before="240"/>
      </w:pPr>
      <w:r>
        <w:rPr>
          <w:b/>
          <w:bCs/>
        </w:rPr>
        <w:t xml:space="preserve">The Credibility Discount</w:t>
      </w:r>
    </w:p>
    <w:p>
      <w:pPr>
        <w:spacing w:after="160"/>
      </w:pPr>
      <w:r>
        <w:t xml:space="preserve">The guest introduced the term "credibility discount" to describe biased disbelief of the more vulnerable, less powerful party. Deborah Tuerkheimer,</w:t>
      </w:r>
      <w:r>
        <w:rPr>
          <w:i/>
          <w:iCs/>
        </w:rPr>
        <w:t xml:space="preserve">Incredible Women: Sexual Violence and the Credibility Discount</w:t>
      </w:r>
      <w:r>
        <w:t xml:space="preserve">, 166 U. Pa. L. Rev. 1 (2017); Deborah Tuerkheimer,</w:t>
      </w:r>
      <w:r>
        <w:rPr>
          <w:i/>
          <w:iCs/>
        </w:rPr>
        <w:t xml:space="preserve">CREDIBLE: Why We Doubt Accusers and Protect Abusers</w:t>
      </w:r>
      <w:r>
        <w:t xml:space="preserve">(2021). She identifies two components.</w:t>
      </w:r>
      <w:r>
        <w:rPr>
          <w:b/>
          <w:bCs/>
        </w:rPr>
        <w:t xml:space="preserve">Trustworthiness</w:t>
      </w:r>
      <w:r>
        <w:t xml:space="preserve">concerns the person: whether, all else equal, the listener is inclined to believe her.</w:t>
      </w:r>
      <w:r>
        <w:rPr>
          <w:b/>
          <w:bCs/>
        </w:rPr>
        <w:t xml:space="preserve">Plausibility</w:t>
      </w:r>
      <w:r>
        <w:t xml:space="preserve">concerns the claim: whether the account fits the listener's expectations about how assaults happen and how victims behave. Stock figures (the gold digger, the attention seeker, the political pawn, the confused woman) can lower perceived trustworthiness for reasons unrelated to the individual. The counterpart is</w:t>
      </w:r>
      <w:r>
        <w:rPr>
          <w:b/>
          <w:bCs/>
        </w:rPr>
        <w:t xml:space="preserve">credibility inflation</w:t>
      </w:r>
      <w:r>
        <w:t xml:space="preserve">: a presumptive boost for accused people of status, prestige, or power.</w:t>
      </w:r>
    </w:p>
    <w:p>
      <w:pPr>
        <w:spacing w:after="160"/>
      </w:pPr>
      <w:r>
        <w:t xml:space="preserve">The guest calls the forces behind these judgments the "credibility complex": cultural beliefs, legal rules that reflect and reinforce them, and systems (police, prosecutors, jurors, and Title IX officials) staffed by people who share the culture. She treats credibility as a form of power distributed along familiar axes such as gender, race, class, language, and immigration status. Her reform framework tracks three questions: whether the account is trusted, whether blame is placed on the victim, and whether the harm is treated as worthy of care.</w:t>
      </w:r>
    </w:p>
    <w:p>
      <w:pPr>
        <w:pStyle w:val="Heading3"/>
        <w:spacing w:after="120" w:before="240"/>
      </w:pPr>
      <w:r>
        <w:rPr>
          <w:b/>
          <w:bCs/>
        </w:rPr>
        <w:t xml:space="preserve">False Allegations</w:t>
      </w:r>
    </w:p>
    <w:p>
      <w:pPr>
        <w:spacing w:after="160"/>
      </w:pPr>
      <w:r>
        <w:t xml:space="preserve">The guest does not argue that every allegation is true. False and mistaken accusations occur, and every criminal defendant is entitled to the presumption of innocence and to proof beyond a reasonable doubt. Her concern is the gap between the actual incidence of false reports and perceptions of it. A frequently cited study of reports to a university police department over ten years classified 5.9 percent as false and found that methodologically sound studies generally place the rate between 2 and 10 percent. David Lisak et al.,</w:t>
      </w:r>
      <w:r>
        <w:rPr>
          <w:i/>
          <w:iCs/>
        </w:rPr>
        <w:t xml:space="preserve">False Allegations of Sexual Assault: An Analysis of Ten Years of Reported Cases</w:t>
      </w:r>
      <w:r>
        <w:t xml:space="preserve">, 16 Violence Against Women 1318 (2010). The host cites a figure of 4 to 5 percent.</w:t>
      </w:r>
    </w:p>
    <w:p>
      <w:pPr>
        <w:pStyle w:val="Heading2"/>
        <w:spacing w:after="120" w:before="240"/>
      </w:pPr>
      <w:r>
        <w:rPr>
          <w:b/>
          <w:bCs/>
        </w:rPr>
        <w:t xml:space="preserve">Reporting, Investigation, and Attrition</w:t>
      </w:r>
    </w:p>
    <w:p>
      <w:pPr>
        <w:spacing w:after="160"/>
      </w:pPr>
      <w:r>
        <w:t xml:space="preserve">Most sexual assaults never reach the police. In the National Crime Victimization Survey for 2024, about 24 percent of rapes and sexual assaults were reported to police, compared with 73 percent of robberies and 69 percent of aggravated assaults. Bureau of Justice Statistics,</w:t>
      </w:r>
      <w:r>
        <w:rPr>
          <w:i/>
          <w:iCs/>
        </w:rPr>
        <w:t xml:space="preserve">Criminal Victimization, 2024</w:t>
      </w:r>
      <w:r>
        <w:t xml:space="preserve">(NCJ 310547, Sept. 2025). Cases that are reported are then "whittled down" at each stage. RAINN, relying on federal data, estimates that of every 1,000 sexual assaults, about 50 lead to an arrest, 28 to a felony conviction, and 25 to incarceration.</w:t>
      </w:r>
    </w:p>
    <w:p>
      <w:pPr>
        <w:spacing w:after="160"/>
      </w:pPr>
      <w:r>
        <w:t xml:space="preserve">The guest emphasizes the first police contact. In the case of Abby Honold, a University of Minnesota student assaulted in 2014, officers kept a friend from accompanying her and a detective minimized the forensic evidence. The man was not arrested until December 2015; in 2016 he pleaded guilty to two counts of third-degree criminal sexual conduct involving two women. The guest also describes "unfounding." Under FBI Uniform Crime Reporting guidance, an offense is "unfounded" when investigation shows it to be false or baseless; the guest describes the category as being used in practice as a catch-all, including for cases officers doubt can be proved and cases in which a complainant declines to proceed. An arrest requires only probable cause, a standard well below proof beyond a reasonable doubt, and the guest argues that more cases should be referred to prosecutors for a charging decision.</w:t>
      </w:r>
    </w:p>
    <w:p>
      <w:pPr>
        <w:spacing w:after="160"/>
      </w:pPr>
      <w:r>
        <w:t xml:space="preserve">Two reform efforts address these stages. First, untested sexual assault kits: the Bureau of Justice Assistance's National Sexual Assault Kit Initiative (SAKI) funds inventory and testing of unsubmitted kits and investigation of resulting cold cases, and as of May 2026 every state has enacted at least one of six reforms tracked by the Joyful Heart Foundation (inventory, testing of backlogged kits, testing of new kits, tracking, victims' right to information, and funding), though most states have not enacted all six. Second, trauma-informed practice: the Abby Honold Act, enacted as part of the Violence Against Women Act Reauthorization Act of 2022, Pub. L. No. 117-103, authorizes grants for trauma-informed, victim-centered law enforcement training, 34 U.S.C. &amp;sect; 12513. Proponents say such training prevents premature dismissal; some critics caution that training materials can overstate the neuroscience or encourage investigators to presume the truth of allegations. In the campus setting, the Title IX regulations require that training materials "not rely on sex stereotypes" and "promote impartial investigations and adjudications." 34 C.F.R. &amp;sect; 106.45(b)(1)(iii).</w:t>
      </w:r>
    </w:p>
    <w:p>
      <w:pPr>
        <w:pStyle w:val="Heading2"/>
        <w:spacing w:after="120" w:before="240"/>
      </w:pPr>
      <w:r>
        <w:rPr>
          <w:b/>
          <w:bCs/>
        </w:rPr>
        <w:t xml:space="preserve">Trauma, Memory, and Expert Testimony</w:t>
      </w:r>
    </w:p>
    <w:p>
      <w:pPr>
        <w:spacing w:after="160"/>
      </w:pPr>
      <w:r>
        <w:t xml:space="preserve">The guest explains that a person describing a traumatic event is unlikely to give a complete, linear, granular narrative. Memory research distinguishes central details, which are more likely to be encoded under threat, from peripheral details, which may never be stored. Inconsistency or gaps in peripheral details (in the guest's campus example, where the complainant was sitting before the assault) are therefore weak evidence of fabrication, yet they are often treated as decisive. Fact-finders may also weigh demeanor, though survivors' reactions range from visible distress to flat affect, a "Goldilocks" problem in which both extremes can be read as signs of unreliability.</w:t>
      </w:r>
    </w:p>
    <w:p>
      <w:pPr>
        <w:spacing w:after="160"/>
      </w:pPr>
      <w:r>
        <w:t xml:space="preserve">Expert testimony is one corrective. In</w:t>
      </w:r>
      <w:r>
        <w:rPr>
          <w:i/>
          <w:iCs/>
        </w:rPr>
        <w:t xml:space="preserve">People v. Taylor</w:t>
      </w:r>
      <w:r>
        <w:t xml:space="preserve">, 75 N.Y.2d 277, 552 N.E.2d 131 (1990), New York's high court held that testimony about rape trauma syndrome may be admitted to explain behavior that might appear unusual to lay jurors, but not to prove that a rape occurred. Jurisdictions differ on the scope of such testimony. The guest argues that "rape trauma syndrome" individualizes structural problems and pathologizes normal reactions, and proposes expert testimony on resistance, memory, emotion, and continued contact with the accused that is grounded in social context. Deborah Tuerkheimer,</w:t>
      </w:r>
      <w:r>
        <w:rPr>
          <w:i/>
          <w:iCs/>
        </w:rPr>
        <w:t xml:space="preserve">Victim, Reconstructed: Sex Crimes Experts and the New Rape Paradigm</w:t>
      </w:r>
      <w:r>
        <w:t xml:space="preserve">, 2024 U. Ill. L. Rev. 55. Defense counsel may challenge such testimony on reliability grounds and may offer their own experts on memory.</w:t>
      </w:r>
    </w:p>
    <w:p>
      <w:pPr>
        <w:pStyle w:val="Heading2"/>
        <w:spacing w:after="120" w:before="240"/>
      </w:pPr>
      <w:r>
        <w:rPr>
          <w:b/>
          <w:bCs/>
        </w:rPr>
        <w:t xml:space="preserve">Historical Special Rules: Corroboration, Prompt Complaint, and Caution</w:t>
      </w:r>
    </w:p>
    <w:p>
      <w:pPr>
        <w:spacing w:after="160"/>
      </w:pPr>
      <w:r>
        <w:t xml:space="preserve">Seventeenth-century jurist Matthew Hale described rape as "an accusation easily to be made and hard to be proved, and harder to be defended by the party accused, tho never so innocent." 1 Matthew Hale,</w:t>
      </w:r>
      <w:r>
        <w:rPr>
          <w:i/>
          <w:iCs/>
        </w:rPr>
        <w:t xml:space="preserve">History of the Pleas of the Crown</w:t>
      </w:r>
      <w:r>
        <w:t xml:space="preserve">635 (1736). That skepticism produced three rules unique to sex offenses, each of which appeared in the 1962 Model Penal Code:</w:t>
      </w:r>
    </w:p>
    <w:p>
      <w:pPr>
        <w:pStyle w:val="ListParagraph"/>
        <w:numPr>
          <w:ilvl w:val="0"/>
          <w:numId w:val="1"/>
        </w:numPr>
        <w:spacing w:after="80"/>
      </w:pPr>
      <w:r>
        <w:rPr>
          <w:b/>
          <w:bCs/>
        </w:rPr>
        <w:t xml:space="preserve">Prompt complaint.</w:t>
      </w:r>
      <w:r>
        <w:t xml:space="preserve">"No prosecution may be instituted or maintained under this Article unless the alleged offense was brought to the notice of public authority within [3] months of its occurrence," with a separate clock for young or incompetent victims. Model Penal Code &amp;sect; 213.6(4) (Am. L. Inst. 1962).</w:t>
      </w:r>
    </w:p>
    <w:p>
      <w:pPr>
        <w:pStyle w:val="ListParagraph"/>
        <w:numPr>
          <w:ilvl w:val="0"/>
          <w:numId w:val="1"/>
        </w:numPr>
        <w:spacing w:after="80"/>
      </w:pPr>
      <w:r>
        <w:rPr>
          <w:b/>
          <w:bCs/>
        </w:rPr>
        <w:t xml:space="preserve">Corroboration.</w:t>
      </w:r>
      <w:r>
        <w:t xml:space="preserve">"No person shall be convicted of any felony under this Article upon the uncorroborated testimony of the alleged victim. Corroboration may be circumstantial."</w:t>
      </w:r>
      <w:r>
        <w:rPr>
          <w:i/>
          <w:iCs/>
        </w:rPr>
        <w:t xml:space="preserve">Id.</w:t>
      </w:r>
      <w:r>
        <w:t xml:space="preserve">&amp;sect; 213.6(5).</w:t>
      </w:r>
    </w:p>
    <w:p>
      <w:pPr>
        <w:pStyle w:val="ListParagraph"/>
        <w:numPr>
          <w:ilvl w:val="0"/>
          <w:numId w:val="1"/>
        </w:numPr>
        <w:spacing w:after="80"/>
      </w:pPr>
      <w:r>
        <w:rPr>
          <w:b/>
          <w:bCs/>
        </w:rPr>
        <w:t xml:space="preserve">Cautionary instruction.</w:t>
      </w:r>
      <w:r>
        <w:t xml:space="preserve">Juries were to be instructed "to evaluate the testimony of a victim or complaining witness with special care in view of the emotional involvement of the witness and the difficulty of determining the truth with respect to alleged sexual activities carried out in private."</w:t>
      </w:r>
      <w:r>
        <w:rPr>
          <w:i/>
          <w:iCs/>
        </w:rPr>
        <w:t xml:space="preserve">Id.</w:t>
      </w:r>
    </w:p>
    <w:p>
      <w:pPr>
        <w:spacing w:after="160"/>
      </w:pPr>
      <w:r>
        <w:t xml:space="preserve">Most states have abolished or relaxed these rules, but vestiges remain. New York, for example, still requires corroboration where lack of consent results solely from the victim's mental defect or incapacity. N.Y. Penal Law &amp;sect; 130.16. Evidence doctrines derived from prompt complaint also persist in modified form; Massachusetts replaced its "fresh complaint" doctrine with a "first complaint" rule in</w:t>
      </w:r>
      <w:r>
        <w:rPr>
          <w:i/>
          <w:iCs/>
        </w:rPr>
        <w:t xml:space="preserve">Commonwealth v. King</w:t>
      </w:r>
      <w:r>
        <w:t xml:space="preserve">, 445 Mass. 217 (2005). The guest argues that the old skepticism survives informally in the view that a "he said, she said" case cannot be won. The revised Model Penal Code Article 213, approved in 2021 and 2022, contains no prompt-complaint, corroboration, or cautionary-instruction provision.</w:t>
      </w:r>
    </w:p>
    <w:p>
      <w:pPr>
        <w:pStyle w:val="Heading2"/>
        <w:spacing w:after="120" w:before="240"/>
      </w:pPr>
      <w:r>
        <w:rPr>
          <w:b/>
          <w:bCs/>
        </w:rPr>
        <w:t xml:space="preserve">Force, Resistance, and Consent</w:t>
      </w:r>
    </w:p>
    <w:p>
      <w:pPr>
        <w:spacing w:after="160"/>
      </w:pPr>
      <w:r>
        <w:t xml:space="preserve">Traditional rape law required force and resistance, sometimes resistance "to the utmost," as proof that intercourse was against the victim's will. Formal physical-resistance requirements have largely been repealed, but, as the guest notes, some statutes still in effect require an expression of unwillingness. New York's third-degree rape statute, for example, reaches cases in which "the victim clearly expressed that he or she did not consent" and a reasonable person would have understood that expression. N.Y. Penal Law &amp;sect; 130.05(2)(d). The guest describes a case in which a woman identified as Cassandra Weeks submitted after being slapped and shown a gun, and her assailant's conviction was overturned because she did not resist further and her fear was deemed unreasonable; the decision could not be independently verified for these materials.</w:t>
      </w:r>
    </w:p>
    <w:p>
      <w:pPr>
        <w:spacing w:after="160"/>
      </w:pPr>
      <w:r>
        <w:t xml:space="preserve">Other jurisdictions define consent affirmatively. In</w:t>
      </w:r>
      <w:r>
        <w:rPr>
          <w:i/>
          <w:iCs/>
        </w:rPr>
        <w:t xml:space="preserve">State in Interest of M.T.S.</w:t>
      </w:r>
      <w:r>
        <w:t xml:space="preserve">, 129 N.J. 422, 609 A.2d 1266 (1992), the New Jersey Supreme Court held that the force element is satisfied by an act of penetration without "affirmative and freely-given permission." Wisconsin defines consent as "words or overt actions ... indicating a freely given agreement." Wis. Stat. &amp;sect; 940.225(4). Many campus policies use affirmative-consent standards; California and New York require them by statute for covered institutions. Cal. Educ. Code &amp;sect; 67386; N.Y. Educ. Law &amp;sect; 6441.</w:t>
      </w:r>
    </w:p>
    <w:p>
      <w:pPr>
        <w:spacing w:after="160"/>
      </w:pPr>
      <w:r>
        <w:t xml:space="preserve">The revised Model Penal Code takes a middle path. Consent means "a person's willingness to engage in a specific act of sexual penetration, oral sex, or sexual contact," and "may be express or it may be inferred from behavior&amp;mdash;both action and inaction&amp;mdash;in the context of all the circumstances." A "clear verbal refusal&amp;mdash;such as 'No,' 'Stop,' or 'Don't'&amp;mdash;establishes the lack of consent." Model Penal Code &amp;sect; 213.0(2)(e) (Am. L. Inst., official statutory text approved Sept. 2022). A new offense of Sexual Assault in the Absence of Consent, &amp;sect; 213.6, is graded higher when the person "expressly communicated unwillingness." Early drafts used a "positive agreement" formulation that some members said was too close to affirmative consent and shifted the burden to defendants; the reference to "inaction" was later criticized by others, including the Justice Department, for placing the onus on victims to signal refusal.</w:t>
      </w:r>
      <w:r>
        <w:rPr>
          <w:i/>
          <w:iCs/>
        </w:rPr>
        <w:t xml:space="preserve">See</w:t>
      </w:r>
      <w:r>
        <w:t xml:space="preserve">Michelle J. Anderson,</w:t>
      </w:r>
      <w:r>
        <w:rPr>
          <w:i/>
          <w:iCs/>
        </w:rPr>
        <w:t xml:space="preserve">Backwards: The ALI on Consent and Mens Rea for Rape</w:t>
      </w:r>
      <w:r>
        <w:t xml:space="preserve">, 76 N.Y.U. Ann. Surv. Am. L. 695 (2021).</w:t>
      </w:r>
    </w:p>
    <w:p>
      <w:pPr>
        <w:spacing w:after="160"/>
      </w:pPr>
      <w:r>
        <w:t xml:space="preserve">Research supports the guest's point that non-resistance does not imply consent. In a Swedish study of 298 women seen at an emergency clinic after sexual assault, 70 percent reported significant tonic immobility (involuntary paralysis) during the assault and 48 percent reported extreme tonic immobility. Anna M&amp;ouml;ller et al.,</w:t>
      </w:r>
      <w:r>
        <w:rPr>
          <w:i/>
          <w:iCs/>
        </w:rPr>
        <w:t xml:space="preserve">Tonic Immobility During Sexual Assault</w:t>
      </w:r>
      <w:r>
        <w:t xml:space="preserve">, 96 Acta Obstetricia et Gynecologica Scandinavica 932 (2017).</w:t>
      </w:r>
    </w:p>
    <w:p>
      <w:pPr>
        <w:pStyle w:val="Heading2"/>
        <w:spacing w:after="120" w:before="240"/>
      </w:pPr>
      <w:r>
        <w:rPr>
          <w:b/>
          <w:bCs/>
        </w:rPr>
        <w:t xml:space="preserve">Intoxication and Incapacity</w:t>
      </w:r>
    </w:p>
    <w:p>
      <w:pPr>
        <w:spacing w:after="160"/>
      </w:pPr>
      <w:r>
        <w:t xml:space="preserve">Many statutes treat a victim who was drugged without her knowledge differently from one who drank voluntarily. In</w:t>
      </w:r>
      <w:r>
        <w:rPr>
          <w:i/>
          <w:iCs/>
        </w:rPr>
        <w:t xml:space="preserve">State v. Khalil</w:t>
      </w:r>
      <w:r>
        <w:t xml:space="preserve">, 956 N.W.2d 627 (Minn. 2021), the Minnesota Supreme Court reversed a third-degree criminal sexual conduct conviction because the statutory definition of "mentally incapacitated" required that the intoxicant be "administered to that person without the person's agreement," and the victim had voluntarily consumed alcohol and a narcotic before blacking out. The legislature responded by adding a second clause covering a person "under the influence of any substance or substances to a degree that renders them incapable of consenting or incapable of appreciating, understanding, or controlling the person's conduct," effective September 15, 2021. Minn. Stat. &amp;sect; 609.341, subd. 7. A 2022 survey found 21 states whose statutes limit mental incapacity to involuntary intoxication, while 23 jurisdictions allow a finding of incapacity based on either voluntary or involuntary intoxication. Teravskis et al., 50 J. Am. Acad. Psychiatry &amp; L. 600 (2022). Separate provisions for victims who are unconscious or "physically helpless" may apply regardless of how the incapacity arose.</w:t>
      </w:r>
    </w:p>
    <w:p>
      <w:pPr>
        <w:spacing w:after="160"/>
      </w:pPr>
      <w:r>
        <w:t xml:space="preserve">The revised Model Penal Code grades sexual assault of an "incapacitated person" as a third-degree felony when the victim is sleeping, unconscious, or physically unable to communicate lack of consent, or when a substance was administered without the victim's knowledge; it treats a victim who is "passing in and out of consciousness" or "lacks substantial capacity to communicate lack of consent" as a "vulnerable person," a fourth-degree felony, regardless of how the condition arose. Model Penal Code &amp;sect; 213.3(1)&amp;ndash;(2) (2022).</w:t>
      </w:r>
    </w:p>
    <w:p>
      <w:pPr>
        <w:pStyle w:val="Heading2"/>
        <w:spacing w:after="120" w:before="240"/>
      </w:pPr>
      <w:r>
        <w:rPr>
          <w:b/>
          <w:bCs/>
        </w:rPr>
        <w:t xml:space="preserve">The Marital Exemption and Its Remnants</w:t>
      </w:r>
    </w:p>
    <w:p>
      <w:pPr>
        <w:spacing w:after="160"/>
      </w:pPr>
      <w:r>
        <w:t xml:space="preserve">The common law held that a husband could not be guilty of raping his wife. Hale,</w:t>
      </w:r>
      <w:r>
        <w:rPr>
          <w:i/>
          <w:iCs/>
        </w:rPr>
        <w:t xml:space="preserve">supra</w:t>
      </w:r>
      <w:r>
        <w:t xml:space="preserve">, at 629. The 1962 Model Penal Code retained a marital exemption. Reform began in the 1970s; New York's high court struck down its statutory exemption in</w:t>
      </w:r>
      <w:r>
        <w:rPr>
          <w:i/>
          <w:iCs/>
        </w:rPr>
        <w:t xml:space="preserve">People v. Liberta</w:t>
      </w:r>
      <w:r>
        <w:t xml:space="preserve">, 64 N.Y.2d 152 (1984), and every state now criminalizes marital rape in some form. Remnants persist in some states, particularly for offenses based on a spouse's intoxication, impairment, or physical helplessness. Ohio's House Bill 161, signed May 10, 2024 and effective August 9, 2024, removed spousal exceptions from its rape, sexual battery, gross sexual imposition, and related statutes and expanded spousal testimony in sex-offense cases. The revised Model Penal Code omits a general marital exemption; it retains only a bracketed, optional defense for certain offenses involving minors. Model Penal Code &amp;sect; 213.8(9) (2022).</w:t>
      </w:r>
    </w:p>
    <w:p>
      <w:pPr>
        <w:pStyle w:val="Heading2"/>
        <w:spacing w:after="120" w:before="240"/>
      </w:pPr>
      <w:r>
        <w:rPr>
          <w:b/>
          <w:bCs/>
        </w:rPr>
        <w:t xml:space="preserve">Sexual History, Dress, and the Role of Defense Counsel</w:t>
      </w:r>
    </w:p>
    <w:p>
      <w:pPr>
        <w:spacing w:after="160"/>
      </w:pPr>
      <w:r>
        <w:t xml:space="preserve">Rape shield rules limit evidence of a complainant's other sexual behavior and "sexual predisposition." In federal criminal cases, such evidence is admissible only to show that someone else was the source of semen, injury, or other physical evidence; to prove consent through specific instances of sexual behavior with the defendant; or where exclusion would violate the defendant's constitutional rights. Fed. R. Evid. 412(b)(1). In civil cases, a balancing test applies. Fed. R. Evid. 412(b)(2). The advisory committee notes explain that "predisposition" reaches evidence such as a person's mode of dress, speech, or lifestyle. Rape shield rules must yield when needed to protect the defendant's confrontation rights.</w:t>
      </w:r>
      <w:r>
        <w:rPr>
          <w:i/>
          <w:iCs/>
        </w:rPr>
        <w:t xml:space="preserve">Olden v. Kentucky</w:t>
      </w:r>
      <w:r>
        <w:t xml:space="preserve">, 488 U.S. 227 (1988) (per curiam).</w:t>
      </w:r>
    </w:p>
    <w:p>
      <w:pPr>
        <w:spacing w:after="160"/>
      </w:pPr>
      <w:r>
        <w:t xml:space="preserve">Workplace harassment law takes a different starting point. In</w:t>
      </w:r>
      <w:r>
        <w:rPr>
          <w:i/>
          <w:iCs/>
        </w:rPr>
        <w:t xml:space="preserve">Meritor Savings Bank, FSB v. Vinson</w:t>
      </w:r>
      <w:r>
        <w:t xml:space="preserve">, 477 U.S. 57, 69 (1986), the Supreme Court held that a complainant's "sexually provocative speech or dress" is "obviously relevant" to whether sexual advances were unwelcome, while recognizing that the trial court must weigh its probative value against unfair prejudice. The guest also recalls questioning at R. Kelly's 2021 federal trial about witnesses' clothing, which she says the judge challenged.</w:t>
      </w:r>
    </w:p>
    <w:p>
      <w:pPr>
        <w:spacing w:after="160"/>
      </w:pPr>
      <w:r>
        <w:t xml:space="preserve">The guest stresses that defense attorneys have a duty to represent their clients within ethical limits. The defendant's rights to confrontation and to present a defense are constitutional. At the same time, a lawyer "shall not use means that have no substantial purpose other than to embarrass, delay, or burden a third person." Model Rules of Pro. Conduct r. 4.4(a) (Am. Bar Ass'n). The guest's point is that such questioning will continue as long as it persuades jurors.</w:t>
      </w:r>
    </w:p>
    <w:p>
      <w:pPr>
        <w:pStyle w:val="Heading2"/>
        <w:spacing w:after="120" w:before="240"/>
      </w:pPr>
      <w:r>
        <w:rPr>
          <w:b/>
          <w:bCs/>
        </w:rPr>
        <w:t xml:space="preserve">Campus Proceedings Under Title IX</w:t>
      </w:r>
    </w:p>
    <w:p>
      <w:pPr>
        <w:spacing w:after="160"/>
      </w:pPr>
      <w:r>
        <w:t xml:space="preserve">The guest's campus example arose under a preponderance-of-the-evidence standard. Under the 2020 Title IX regulations, 85 Fed. Reg. 30026 (May 19, 2020), which are now in force, a school may use either the preponderance or the clear-and-convincing standard but must apply the same standard to complaints against students and employees. 34 C.F.R. &amp;sect; 106.45(b)(1)(vii). Colleges and universities must hold a live hearing at which each party's advisor may cross-examine the other party and witnesses. &amp;sect; 106.45(b)(6)(i). A federal court vacated the rule's bar on considering statements by parties or witnesses who do not submit to cross-examination.</w:t>
      </w:r>
      <w:r>
        <w:rPr>
          <w:i/>
          <w:iCs/>
        </w:rPr>
        <w:t xml:space="preserve">Victim Rights Law Center v. Cardona</w:t>
      </w:r>
      <w:r>
        <w:t xml:space="preserve">(D. Mass. 2021). Schools may offer informal resolution, which can include restorative processes, if both parties give voluntary, written consent, but not for allegations that an employee harassed a student. &amp;sect; 106.45(b)(9).</w:t>
      </w:r>
    </w:p>
    <w:p>
      <w:pPr>
        <w:spacing w:after="160"/>
      </w:pPr>
      <w:r>
        <w:t xml:space="preserve">A 2024 rule would have changed these procedures, but it was vacated nationwide in</w:t>
      </w:r>
      <w:r>
        <w:rPr>
          <w:i/>
          <w:iCs/>
        </w:rPr>
        <w:t xml:space="preserve">Tennessee v. Cardona</w:t>
      </w:r>
      <w:r>
        <w:t xml:space="preserve">, No. 2:24-cv-00072 (E.D. Ky. Jan. 9, 2025), and the Department of Education enforces the 2020 rule. On September 29, 2026, the Department published a rule formally removing the 2024 text and restoring the 2020 regulations. Courts have also addressed due process at public universities; in</w:t>
      </w:r>
      <w:r>
        <w:rPr>
          <w:i/>
          <w:iCs/>
        </w:rPr>
        <w:t xml:space="preserve">Doe v. Baum</w:t>
      </w:r>
      <w:r>
        <w:t xml:space="preserve">, 903 F.3d 575 (6th Cir. 2018), the Sixth Circuit held that when a case turns on credibility, a public university must provide a hearing with some form of cross-examination. Supporters of these protections emphasize fairness to respondents, who can face expulsion; critics argue that adversarial hearings deter reporting and retraumatize complainants. The ALI's</w:t>
      </w:r>
      <w:r>
        <w:rPr>
          <w:i/>
          <w:iCs/>
        </w:rPr>
        <w:t xml:space="preserve">Principles of the Law, Student Sexual Misconduct</w:t>
      </w:r>
      <w:r>
        <w:t xml:space="preserve">(2025) offers procedures intended to be fair to both parties.</w:t>
      </w:r>
    </w:p>
    <w:p>
      <w:pPr>
        <w:pStyle w:val="Heading2"/>
        <w:spacing w:after="120" w:before="240"/>
      </w:pPr>
      <w:r>
        <w:rPr>
          <w:b/>
          <w:bCs/>
        </w:rPr>
        <w:t xml:space="preserve">Restorative Justice</w:t>
      </w:r>
    </w:p>
    <w:p>
      <w:pPr>
        <w:spacing w:after="160"/>
      </w:pPr>
      <w:r>
        <w:t xml:space="preserve">Restorative justice resolves harm outside the traditional adjudicative process. It starts from the responsible party's acknowledgment of what happened and brings together the survivor, the offender, and often family and community members to address how to repair the harm. The guest notes that it has taken hold most on college campuses and is newer as a criminal diversion option. She describes a high school case in which the process led the offender to confront his belief that a "good girl" had to be pressured and, at the survivor's request, to correct his public claim that she had lied.</w:t>
      </w:r>
    </w:p>
    <w:p>
      <w:pPr>
        <w:spacing w:after="160"/>
      </w:pPr>
      <w:r>
        <w:t xml:space="preserve">The guest identifies conditions for success: an offender who accepts responsibility in good faith, a skilled facilitator, and an institution committed to addressing the problem systemically. Without them, restorative processes can be, or appear to be, a way to avoid accountability. Her later work argues for redesigning criminal and civil systems around survivors' needs, organized around access, control, and support. Deborah Tuerkheimer,</w:t>
      </w:r>
      <w:r>
        <w:rPr>
          <w:i/>
          <w:iCs/>
        </w:rPr>
        <w:t xml:space="preserve">Survivors' Justice</w:t>
      </w:r>
      <w:r>
        <w:t xml:space="preserve">, 112 Va. L. Rev. 495 (2026).</w:t>
      </w:r>
    </w:p>
    <w:p>
      <w:pPr>
        <w:pStyle w:val="Heading2"/>
        <w:spacing w:after="120" w:before="240"/>
      </w:pPr>
      <w:r>
        <w:rPr>
          <w:b/>
          <w:bCs/>
        </w:rPr>
        <w:t xml:space="preserve">Developments to Know</w:t>
      </w:r>
    </w:p>
    <w:p>
      <w:pPr>
        <w:pStyle w:val="ListParagraph"/>
        <w:numPr>
          <w:ilvl w:val="0"/>
          <w:numId w:val="1"/>
        </w:numPr>
        <w:spacing w:after="80"/>
      </w:pPr>
      <w:r>
        <w:rPr>
          <w:b/>
          <w:bCs/>
        </w:rPr>
        <w:t xml:space="preserve">Model Penal Code Article 213.</w:t>
      </w:r>
      <w:r>
        <w:t xml:space="preserve">The ALI membership approved Tentative Draft No. 5 at its 2021 Annual Meeting and Tentative Draft No. 6 in May 2022; drafting is complete and the official text is in production. The revision drops the 1962 prompt-complaint, corroboration, and cautionary-instruction provisions and the general marital exemption, defines consent as willingness, creates a no-consent offense, and permits consent to be inferred from action or inaction in context.</w:t>
      </w:r>
    </w:p>
    <w:p>
      <w:pPr>
        <w:pStyle w:val="ListParagraph"/>
        <w:numPr>
          <w:ilvl w:val="0"/>
          <w:numId w:val="1"/>
        </w:numPr>
        <w:spacing w:after="80"/>
      </w:pPr>
      <w:r>
        <w:rPr>
          <w:b/>
          <w:bCs/>
        </w:rPr>
        <w:t xml:space="preserve">Intoxication.</w:t>
      </w:r>
      <w:r>
        <w:t xml:space="preserve">Minnesota amended Minn. Stat. &amp;sect; 609.341, subd. 7, effective September 15, 2021, after</w:t>
      </w:r>
      <w:r>
        <w:rPr>
          <w:i/>
          <w:iCs/>
        </w:rPr>
        <w:t xml:space="preserve">State v. Khalil</w:t>
      </w:r>
      <w:r>
        <w:t xml:space="preserve">, 956 N.W.2d 627 (Minn. 2021). A 2022 survey found 21 states still limit mental incapacity to involuntary intoxication.</w:t>
      </w:r>
    </w:p>
    <w:p>
      <w:pPr>
        <w:pStyle w:val="ListParagraph"/>
        <w:numPr>
          <w:ilvl w:val="0"/>
          <w:numId w:val="1"/>
        </w:numPr>
        <w:spacing w:after="80"/>
      </w:pPr>
      <w:r>
        <w:rPr>
          <w:b/>
          <w:bCs/>
        </w:rPr>
        <w:t xml:space="preserve">Marital exceptions.</w:t>
      </w:r>
      <w:r>
        <w:t xml:space="preserve">Ohio H.B. 161 (signed May 10, 2024; effective August 9, 2024) removed spousal exceptions from Ohio's sex offense statutes.</w:t>
      </w:r>
    </w:p>
    <w:p>
      <w:pPr>
        <w:pStyle w:val="ListParagraph"/>
        <w:numPr>
          <w:ilvl w:val="0"/>
          <w:numId w:val="1"/>
        </w:numPr>
        <w:spacing w:after="80"/>
      </w:pPr>
      <w:r>
        <w:rPr>
          <w:b/>
          <w:bCs/>
        </w:rPr>
        <w:t xml:space="preserve">New York's rape definition.</w:t>
      </w:r>
      <w:r>
        <w:t xml:space="preserve">Legislation signed January 30, 2024 and effective September 1, 2024 expanded rape to include nonconsensual oral and anal sexual contact.</w:t>
      </w:r>
    </w:p>
    <w:p>
      <w:pPr>
        <w:pStyle w:val="ListParagraph"/>
        <w:numPr>
          <w:ilvl w:val="0"/>
          <w:numId w:val="1"/>
        </w:numPr>
        <w:spacing w:after="80"/>
      </w:pPr>
      <w:r>
        <w:rPr>
          <w:b/>
          <w:bCs/>
        </w:rPr>
        <w:t xml:space="preserve">Title IX.</w:t>
      </w:r>
      <w:r>
        <w:t xml:space="preserve">The 2024 rule was vacated in</w:t>
      </w:r>
      <w:r>
        <w:rPr>
          <w:i/>
          <w:iCs/>
        </w:rPr>
        <w:t xml:space="preserve">Tennessee v. Cardona</w:t>
      </w:r>
      <w:r>
        <w:t xml:space="preserve">(E.D. Ky. Jan. 9, 2025). The 2020 rule governs, and the Department formally restored its text on September 29, 2026.</w:t>
      </w:r>
    </w:p>
    <w:p>
      <w:pPr>
        <w:pStyle w:val="ListParagraph"/>
        <w:numPr>
          <w:ilvl w:val="0"/>
          <w:numId w:val="1"/>
        </w:numPr>
        <w:spacing w:after="80"/>
      </w:pPr>
      <w:r>
        <w:rPr>
          <w:b/>
          <w:bCs/>
        </w:rPr>
        <w:t xml:space="preserve">Weinstein.</w:t>
      </w:r>
      <w:r>
        <w:rPr>
          <w:i/>
          <w:iCs/>
        </w:rPr>
        <w:t xml:space="preserve">People v. Weinstein</w:t>
      </w:r>
      <w:r>
        <w:t xml:space="preserve">, 2024 NY Slip Op 02222 (N.Y. Apr. 25, 2024), reversed his 2020 conviction 4&amp;ndash;3 because of improperly admitted uncharged-act (</w:t>
      </w:r>
      <w:r>
        <w:rPr>
          <w:i/>
          <w:iCs/>
        </w:rPr>
        <w:t xml:space="preserve">Molineux</w:t>
      </w:r>
      <w:r>
        <w:t xml:space="preserve">) evidence and an overbroad</w:t>
      </w:r>
      <w:r>
        <w:rPr>
          <w:i/>
          <w:iCs/>
        </w:rPr>
        <w:t xml:space="preserve">Sandoval</w:t>
      </w:r>
      <w:r>
        <w:t xml:space="preserve">ruling. At the 2025 retrial, the jury convicted him of a first-degree criminal sexual act, acquitted on a second count, and deadlocked on a rape count. After a third trial on that count ended in a hung jury in May 2026, prosecutors dropped it. He was sentenced to 15 years on September 23, 2026.</w:t>
      </w:r>
    </w:p>
    <w:p>
      <w:pPr>
        <w:pStyle w:val="ListParagraph"/>
        <w:numPr>
          <w:ilvl w:val="0"/>
          <w:numId w:val="1"/>
        </w:numPr>
        <w:spacing w:after="80"/>
      </w:pPr>
      <w:r>
        <w:rPr>
          <w:b/>
          <w:bCs/>
        </w:rPr>
        <w:t xml:space="preserve">R. Kelly.</w:t>
      </w:r>
      <w:r>
        <w:t xml:space="preserve">The Second Circuit affirmed his 2021 racketeering and sex trafficking convictions and 30-year sentence on February 12, 2025.</w:t>
      </w:r>
    </w:p>
    <w:p>
      <w:pPr>
        <w:pStyle w:val="ListParagraph"/>
        <w:numPr>
          <w:ilvl w:val="0"/>
          <w:numId w:val="1"/>
        </w:numPr>
        <w:spacing w:after="80"/>
      </w:pPr>
      <w:r>
        <w:rPr>
          <w:b/>
          <w:bCs/>
        </w:rPr>
        <w:t xml:space="preserve">Cosby.</w:t>
      </w:r>
      <w:r>
        <w:rPr>
          <w:i/>
          <w:iCs/>
        </w:rPr>
        <w:t xml:space="preserve">Commonwealth v. Cosby</w:t>
      </w:r>
      <w:r>
        <w:t xml:space="preserve">, 252 A.3d 1092 (Pa. 2021), vacated his conviction because he had relied on a prior prosecutor's promise not to charge him; the U.S. Supreme Court denied review on March 7, 2022.</w:t>
      </w:r>
    </w:p>
    <w:p>
      <w:pPr>
        <w:pStyle w:val="ListParagraph"/>
        <w:numPr>
          <w:ilvl w:val="0"/>
          <w:numId w:val="1"/>
        </w:numPr>
        <w:spacing w:after="80"/>
      </w:pPr>
      <w:r>
        <w:rPr>
          <w:b/>
          <w:bCs/>
        </w:rPr>
        <w:t xml:space="preserve">Reporting.</w:t>
      </w:r>
      <w:r>
        <w:t xml:space="preserve">The 2024 National Crime Victimization Survey found that about 24 percent of rapes and sexual assaults were reported to police.</w:t>
      </w:r>
    </w:p>
    <w:p>
      <w:pPr>
        <w:pStyle w:val="ListParagraph"/>
        <w:numPr>
          <w:ilvl w:val="0"/>
          <w:numId w:val="1"/>
        </w:numPr>
        <w:spacing w:after="80"/>
      </w:pPr>
      <w:r>
        <w:rPr>
          <w:b/>
          <w:bCs/>
        </w:rPr>
        <w:t xml:space="preserve">Rape kits and training.</w:t>
      </w:r>
      <w:r>
        <w:t xml:space="preserve">As of May 2026, every state has enacted at least one rape kit reform. The Abby Honold Act, 34 U.S.C. &amp;sect; 12513 (2022), authorizes $5 million a year for fiscal years 2023 through 2027 for trauma-informed law enforcement training.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2026-10-07T18:44:06.531Z</dcterms:created>
  <dcterms:modified xsi:type="dcterms:W3CDTF">2026-10-07T18:44:06.532Z</dcterms:modified>
</cp:coreProperties>
</file>

<file path=docProps/custom.xml><?xml version="1.0" encoding="utf-8"?>
<Properties xmlns="http://schemas.openxmlformats.org/officeDocument/2006/custom-properties" xmlns:vt="http://schemas.openxmlformats.org/officeDocument/2006/docPropsVTypes"/>
</file>