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Poor People Science and Wrongful Convictions: Junk Forensics in the Courtroom</w:t>
      </w:r>
    </w:p>
    <w:p>
      <w:pPr>
        <w:spacing w:after="200"/>
      </w:pPr>
      <w:r>
        <w:rPr>
          <w:rFonts w:ascii="Montserrat" w:cs="Montserrat" w:eastAsia="Montserrat" w:hAnsi="Montserrat"/>
          <w:b/>
          <w:bCs/>
          <w:color w:val="E87722"/>
          <w:sz w:val="24"/>
          <w:szCs w:val="24"/>
        </w:rPr>
        <w:t>M. Chris Fabricant, Director of Strategic Litigation (Joseph Flom Special Counsel), Innocence Project; author of Junk Science and the American Criminal Justice System (2022)</w:t>
      </w:r>
    </w:p>
    <w:p>
      <w:pPr>
        <w:pStyle w:val="Heading2"/>
        <w:spacing w:after="120" w:before="240"/>
      </w:pPr>
      <w:r>
        <w:rPr>
          <w:b/>
          <w:bCs/>
        </w:rPr>
        <w:t>Overview</w:t>
      </w:r>
    </w:p>
    <w:p>
      <w:pPr>
        <w:spacing w:after="160"/>
      </w:pPr>
      <w:r>
        <w:t>This program examines the use of unvalidated forensic evidence in criminal prosecutions and the legal mechanisms for excluding it and remedying wrongful convictions that rest on it. Chris Fabricant of the Innocence Project explains what distinguishes validated forensic science from subjective pattern matching, traces the history of bite-mark evidence from a 1970s California case through the Ted Bundy trial, describes the cognitive-bias research and the 2009 National Academy of Sciences and 2016 PCAST reports that undermined many pattern-matching disciplines, and uses the exoneration of Keith Harward to illustrate both the harm of junk science and the obstacles that finality rules place in the way of post-conviction relief. The program also explores the civil–criminal divide in judicial gatekeeping under Daubert and Frye, and updates the discussion with the 2023 amendment to Federal Rule of Evidence 702, the NIST bite-mark review, state post-conviction "junk science" statutes, and recent exonerations.</w:t>
      </w:r>
    </w:p>
    <w:p>
      <w:pPr>
        <w:pStyle w:val="Heading2"/>
        <w:spacing w:after="120" w:before="240"/>
      </w:pPr>
      <w:r>
        <w:rPr>
          <w:b/>
          <w:bCs/>
        </w:rPr>
        <w:t>Learning Objectives</w:t>
      </w:r>
    </w:p>
    <w:p>
      <w:pPr>
        <w:pStyle w:val="ListParagraph"/>
        <w:numPr>
          <w:ilvl w:val="0"/>
          <w:numId w:val="1"/>
        </w:numPr>
        <w:spacing w:after="80"/>
      </w:pPr>
      <w:r>
        <w:t>Distinguish validated forensic disciplines from subjective pattern-matching methods and identify the sources of error and cognitive bias in forensic analysis.</w:t>
      </w:r>
    </w:p>
    <w:p>
      <w:pPr>
        <w:pStyle w:val="ListParagraph"/>
        <w:numPr>
          <w:ilvl w:val="0"/>
          <w:numId w:val="1"/>
        </w:numPr>
        <w:spacing w:after="80"/>
      </w:pPr>
      <w:r>
        <w:t>Explain the admissibility standards for expert testimony under Daubert, Frye, and Federal Rule of Evidence 702 as amended in 2023, and the differing rigor with which courts have applied them in civil and criminal cases.</w:t>
      </w:r>
    </w:p>
    <w:p>
      <w:pPr>
        <w:pStyle w:val="ListParagraph"/>
        <w:numPr>
          <w:ilvl w:val="0"/>
          <w:numId w:val="1"/>
        </w:numPr>
        <w:spacing w:after="80"/>
      </w:pPr>
      <w:r>
        <w:t>Describe the findings of the 2009 National Academy of Sciences report, the 2016 PCAST report, and the NIST scientific foundation review of bite-mark analysis.</w:t>
      </w:r>
    </w:p>
    <w:p>
      <w:pPr>
        <w:pStyle w:val="ListParagraph"/>
        <w:numPr>
          <w:ilvl w:val="0"/>
          <w:numId w:val="1"/>
        </w:numPr>
        <w:spacing w:after="80"/>
      </w:pPr>
      <w:r>
        <w:t>Identify post-conviction avenues for challenging convictions based on discredited forensic evidence, including DNA testing statutes, newly-discovered-evidence rules, and "junk science" writs such as Texas Code of Criminal Procedure article 11.073.</w:t>
      </w:r>
    </w:p>
    <w:p>
      <w:pPr>
        <w:pStyle w:val="ListParagraph"/>
        <w:numPr>
          <w:ilvl w:val="0"/>
          <w:numId w:val="1"/>
        </w:numPr>
        <w:spacing w:after="80"/>
      </w:pPr>
      <w:r>
        <w:t>Apply practical strategies for challenging unreliable forensic testimony at trial, including motions in limine, Daubert/Frye hearings, limits on "match" and "to the exclusion of all others" testimony, and cross-examination on error rates.</w:t>
      </w:r>
    </w:p>
    <w:p>
      <w:pPr>
        <w:pStyle w:val="Heading2"/>
        <w:spacing w:after="120" w:before="240"/>
      </w:pPr>
      <w:r>
        <w:rPr>
          <w:b/>
          <w:bCs/>
        </w:rPr>
        <w:t>Junk Science and Its Sources</w:t>
      </w:r>
    </w:p>
    <w:p>
      <w:pPr>
        <w:pStyle w:val="ListParagraph"/>
        <w:numPr>
          <w:ilvl w:val="0"/>
          <w:numId w:val="1"/>
        </w:numPr>
        <w:spacing w:after="80"/>
      </w:pPr>
      <w:r>
        <w:t>Fabricant defines junk science as subjective speculation masquerading as scientific evidence. Pattern-matching disciplines (bite marks, hair microscopy, footwear, firearms and toolmarks, and to a lesser degree latent prints) depend on examiner judgment rather than validated, objective methods with known error rates.</w:t>
      </w:r>
    </w:p>
    <w:p>
      <w:pPr>
        <w:pStyle w:val="ListParagraph"/>
        <w:numPr>
          <w:ilvl w:val="0"/>
          <w:numId w:val="1"/>
        </w:numPr>
        <w:spacing w:after="80"/>
      </w:pPr>
      <w:r>
        <w:t>Cognitive bias: in the FBI's 2004 misidentification of Brandon Mayfield in the Madrid train bombing, three examiners confirmed an erroneous fingerprint match. Research by Itiel Dror showed that experienced examiners changed their own prior conclusions when given different contextual information.</w:t>
      </w:r>
    </w:p>
    <w:p>
      <w:pPr>
        <w:pStyle w:val="ListParagraph"/>
        <w:numPr>
          <w:ilvl w:val="0"/>
          <w:numId w:val="1"/>
        </w:numPr>
        <w:spacing w:after="80"/>
      </w:pPr>
      <w:r>
        <w:t>Institutional structure: most crime laboratories operate within police departments or prosecutors' offices. Houston's independent forensic science center is a frequently cited alternative model.</w:t>
      </w:r>
    </w:p>
    <w:p>
      <w:pPr>
        <w:pStyle w:val="ListParagraph"/>
        <w:numPr>
          <w:ilvl w:val="0"/>
          <w:numId w:val="1"/>
        </w:numPr>
        <w:spacing w:after="80"/>
      </w:pPr>
      <w:r>
        <w:t>National Research Council, Strengthening Forensic Science in the United States: A Path Forward (2009), found that, apart from nuclear DNA analysis, no forensic method had been rigorously shown to consistently and with a high degree of certainty connect evidence to a specific individual or source. PCAST, Forensic Science in Criminal Courts: Ensuring Scientific Validity of Feature-Comparison Methods (2016), concluded that bite-mark analysis was not scientifically valid and that several other disciplines lacked adequate validation.</w:t>
      </w:r>
    </w:p>
    <w:p>
      <w:pPr>
        <w:pStyle w:val="Heading2"/>
        <w:spacing w:after="120" w:before="240"/>
      </w:pPr>
      <w:r>
        <w:rPr>
          <w:b/>
          <w:bCs/>
        </w:rPr>
        <w:t>The History of Bite-Mark Evidence</w:t>
      </w:r>
    </w:p>
    <w:p>
      <w:pPr>
        <w:pStyle w:val="ListParagraph"/>
        <w:numPr>
          <w:ilvl w:val="0"/>
          <w:numId w:val="1"/>
        </w:numPr>
        <w:spacing w:after="80"/>
      </w:pPr>
      <w:r>
        <w:t>People v. Marx, 54 Cal. App. 3d 100 (1975), admitted bite-mark testimony on the theory that the trier of fact could evaluate the comparison itself; the precedent was adopted widely without independent validation.</w:t>
      </w:r>
    </w:p>
    <w:p>
      <w:pPr>
        <w:pStyle w:val="ListParagraph"/>
        <w:numPr>
          <w:ilvl w:val="0"/>
          <w:numId w:val="1"/>
        </w:numPr>
        <w:spacing w:after="80"/>
      </w:pPr>
      <w:r>
        <w:t>The 1979 Florida trial of Ted Bundy relied on bite-mark testimony and made the discipline and its practitioners prominent. Robert DuBoise, convicted in Florida in 1985 on bite-mark testimony, was exonerated in 2020.</w:t>
      </w:r>
    </w:p>
    <w:p>
      <w:pPr>
        <w:pStyle w:val="ListParagraph"/>
        <w:numPr>
          <w:ilvl w:val="0"/>
          <w:numId w:val="1"/>
        </w:numPr>
        <w:spacing w:after="80"/>
      </w:pPr>
      <w:r>
        <w:t>The National Institute of Standards and Technology's Bitemark Analysis: A NIST Scientific Foundation Review (NISTIR 8352, 2022–23) found insufficient support for the premises that human dentition is unique, that this uniqueness transfers accurately to skin, and that examiners can accurately interpret the resulting marks.</w:t>
      </w:r>
    </w:p>
    <w:p>
      <w:pPr>
        <w:pStyle w:val="ListParagraph"/>
        <w:numPr>
          <w:ilvl w:val="0"/>
          <w:numId w:val="1"/>
        </w:numPr>
        <w:spacing w:after="80"/>
      </w:pPr>
      <w:r>
        <w:t>No state has barred bite-mark evidence at trial. The Texas Forensic Science Commission recommended a moratorium on its use in 2016.</w:t>
      </w:r>
    </w:p>
    <w:p>
      <w:pPr>
        <w:pStyle w:val="Heading2"/>
        <w:spacing w:after="120" w:before="240"/>
      </w:pPr>
      <w:r>
        <w:rPr>
          <w:b/>
          <w:bCs/>
        </w:rPr>
        <w:t>Gatekeeping: The Civil–Criminal Divide</w:t>
      </w:r>
    </w:p>
    <w:p>
      <w:pPr>
        <w:pStyle w:val="ListParagraph"/>
        <w:numPr>
          <w:ilvl w:val="0"/>
          <w:numId w:val="1"/>
        </w:numPr>
        <w:spacing w:after="80"/>
      </w:pPr>
      <w:r>
        <w:t>Daubert v. Merrell Dow Pharmaceuticals, Inc., 509 U.S. 579 (1993), arising from a civil product-liability case, assigned trial judges a gatekeeping role over the reliability of expert testimony; Kumho Tire Co. v. Carmichael, 526 U.S. 137 (1999), extended it to all expert testimony. Some states retain the Frye general-acceptance test.</w:t>
      </w:r>
    </w:p>
    <w:p>
      <w:pPr>
        <w:pStyle w:val="ListParagraph"/>
        <w:numPr>
          <w:ilvl w:val="0"/>
          <w:numId w:val="1"/>
        </w:numPr>
        <w:spacing w:after="80"/>
      </w:pPr>
      <w:r>
        <w:t>Empirical studies, including Peter Neufeld's review and Fabricant and Brandon Garrett's analysis of criminal appellate decisions, found that judges applied Daubert more rigorously to civil plaintiffs' experts than to prosecution forensic experts.</w:t>
      </w:r>
    </w:p>
    <w:p>
      <w:pPr>
        <w:pStyle w:val="ListParagraph"/>
        <w:numPr>
          <w:ilvl w:val="0"/>
          <w:numId w:val="1"/>
        </w:numPr>
        <w:spacing w:after="80"/>
      </w:pPr>
      <w:r>
        <w:t>Federal Rule of Evidence 702, as amended effective December 1, 2023, clarifies that the proponent must establish by a preponderance of the evidence that the testimony satisfies each requirement of the rule, and that the expert's opinion must reflect a reliable application of the expert's principles and methods to the facts. The Advisory Committee's note specifically addresses forensic experts' overstatement of conclusions.</w:t>
      </w:r>
    </w:p>
    <w:p>
      <w:pPr>
        <w:pStyle w:val="ListParagraph"/>
        <w:numPr>
          <w:ilvl w:val="0"/>
          <w:numId w:val="1"/>
        </w:numPr>
        <w:spacing w:after="80"/>
      </w:pPr>
      <w:r>
        <w:t>Faulty forensic evidence contributed to nearly half of the DNA exonerations studied by the Innocence Project. The National Registry of Exonerations recorded 3,767 exonerations through 2025; false or misleading forensic evidence was a factor in 40 percent of the 97 exonerations recorded in 2025.</w:t>
      </w:r>
    </w:p>
    <w:p>
      <w:pPr>
        <w:pStyle w:val="Heading2"/>
        <w:spacing w:after="120" w:before="240"/>
      </w:pPr>
      <w:r>
        <w:rPr>
          <w:b/>
          <w:bCs/>
        </w:rPr>
        <w:t>The Keith Harward Case</w:t>
      </w:r>
    </w:p>
    <w:p>
      <w:pPr>
        <w:pStyle w:val="ListParagraph"/>
        <w:numPr>
          <w:ilvl w:val="0"/>
          <w:numId w:val="1"/>
        </w:numPr>
        <w:spacing w:after="80"/>
      </w:pPr>
      <w:r>
        <w:t>In September 1982, a sailor in uniform murdered Jesse Perron and sexually assaulted Teresa Perron in Newport News, Virginia. Investigators conducted a "dental dragnet" of sailors aboard the USS Carl Vinson. Keith Harward was initially excluded, became a suspect after an unrelated incident in which he bit his girlfriend, and was convicted after six forensic dentists testified that his teeth matched bite marks on Teresa Perron. He narrowly avoided a death sentence.</w:t>
      </w:r>
    </w:p>
    <w:p>
      <w:pPr>
        <w:pStyle w:val="ListParagraph"/>
        <w:numPr>
          <w:ilvl w:val="0"/>
          <w:numId w:val="1"/>
        </w:numPr>
        <w:spacing w:after="80"/>
      </w:pPr>
      <w:r>
        <w:t>The Innocence Project, with pro bono counsel from Skadden, obtained DNA testing of preserved evidence in 2016, which identified shipmate Jerry Crotty, who had died in prison. Harward was exonerated after 33 years.</w:t>
      </w:r>
    </w:p>
    <w:p>
      <w:pPr>
        <w:pStyle w:val="ListParagraph"/>
        <w:numPr>
          <w:ilvl w:val="0"/>
          <w:numId w:val="1"/>
        </w:numPr>
        <w:spacing w:after="80"/>
      </w:pPr>
      <w:r>
        <w:t>Non-DNA cases are far harder: Eddie Lee Howard (Mississippi, bite marks, exonerated 2020) and Steven Chaney (Texas, bite marks, exonerated 2018) required years of litigation under newly-discovered-evidence and junk-science provisions.</w:t>
      </w:r>
    </w:p>
    <w:p>
      <w:pPr>
        <w:pStyle w:val="Heading2"/>
        <w:spacing w:after="120" w:before="240"/>
      </w:pPr>
      <w:r>
        <w:rPr>
          <w:b/>
          <w:bCs/>
        </w:rPr>
        <w:t>Post-Conviction Remedies</w:t>
      </w:r>
    </w:p>
    <w:p>
      <w:pPr>
        <w:pStyle w:val="ListParagraph"/>
        <w:numPr>
          <w:ilvl w:val="0"/>
          <w:numId w:val="1"/>
        </w:numPr>
        <w:spacing w:after="80"/>
      </w:pPr>
      <w:r>
        <w:t>Texas Code of Criminal Procedure art. 11.073 (2013) permits habeas relief where relevant scientific evidence was not available or has changed since trial. In Ex parte Roark (Tex. Crim. App. 2024), the court vacated a shaken-baby conviction under the statute, and in October 2025 it stayed Robert Roberson's execution and remanded his article 11.073 claim for further proceedings, which remain pending.</w:t>
      </w:r>
    </w:p>
    <w:p>
      <w:pPr>
        <w:pStyle w:val="ListParagraph"/>
        <w:numPr>
          <w:ilvl w:val="0"/>
          <w:numId w:val="1"/>
        </w:numPr>
        <w:spacing w:after="80"/>
      </w:pPr>
      <w:r>
        <w:t>Oregon SB 1515 (2026) designates bite-mark analysis, microscopic hair comparison, and comparative bullet-lead analysis as discredited forensic disciplines for purposes of post-conviction relief; the first conviction was vacated under the law in June 2026.</w:t>
      </w:r>
    </w:p>
    <w:p>
      <w:pPr>
        <w:pStyle w:val="ListParagraph"/>
        <w:numPr>
          <w:ilvl w:val="0"/>
          <w:numId w:val="1"/>
        </w:numPr>
        <w:spacing w:after="80"/>
      </w:pPr>
      <w:r>
        <w:t>Charles McCrory (Alabama, 1985 bite-mark conviction): after state courts denied relief and the Supreme Court denied certiorari in 2024, a federal district court granted a conditional writ of habeas corpus in September 2026, describing bite-mark identification as "rank speculation" and ordering the state to retry or release him within 180 days.</w:t>
      </w:r>
    </w:p>
    <w:p>
      <w:pPr>
        <w:pStyle w:val="ListParagraph"/>
        <w:numPr>
          <w:ilvl w:val="0"/>
          <w:numId w:val="1"/>
        </w:numPr>
        <w:spacing w:after="80"/>
      </w:pPr>
      <w:r>
        <w:t>James Genrich (Colorado, 1993 toolmark conviction): a new trial was ordered in 2023, the Colorado Court of Appeals affirmed in 2025, and the murder charges were dismissed in April 2026, the first toolmark-based conviction overturned on reliability grounds.</w:t>
      </w:r>
    </w:p>
    <w:p>
      <w:pPr>
        <w:pStyle w:val="Heading2"/>
        <w:spacing w:after="120" w:before="240"/>
      </w:pPr>
      <w:r>
        <w:rPr>
          <w:b/>
          <w:bCs/>
        </w:rPr>
        <w:t>Developments to Know</w:t>
      </w:r>
    </w:p>
    <w:p>
      <w:pPr>
        <w:pStyle w:val="ListParagraph"/>
        <w:numPr>
          <w:ilvl w:val="0"/>
          <w:numId w:val="1"/>
        </w:numPr>
        <w:spacing w:after="80"/>
      </w:pPr>
      <w:r>
        <w:t>Federal Rule of Evidence 702 amendment (effective December 1, 2023) strengthening the proponent's burden and addressing overstated expert conclusions.</w:t>
      </w:r>
    </w:p>
    <w:p>
      <w:pPr>
        <w:pStyle w:val="ListParagraph"/>
        <w:numPr>
          <w:ilvl w:val="0"/>
          <w:numId w:val="1"/>
        </w:numPr>
        <w:spacing w:after="80"/>
      </w:pPr>
      <w:r>
        <w:t>NIST Scientific Foundation Review of bite-mark analysis (NISTIR 8352, 2022–23) finding the discipline's premises unsupported; the American Academy of Forensic Sciences' odontology section has stated that practitioners no longer offer individual identifications.</w:t>
      </w:r>
    </w:p>
    <w:p>
      <w:pPr>
        <w:pStyle w:val="ListParagraph"/>
        <w:numPr>
          <w:ilvl w:val="0"/>
          <w:numId w:val="1"/>
        </w:numPr>
        <w:spacing w:after="80"/>
      </w:pPr>
      <w:r>
        <w:t>Exonerations: National Registry of Exonerations 2025 Annual Report (3,767 exonerations through 2025; 97 in 2025, 40 percent involving false or misleading forensic evidence).</w:t>
      </w:r>
    </w:p>
    <w:p>
      <w:pPr>
        <w:pStyle w:val="ListParagraph"/>
        <w:numPr>
          <w:ilvl w:val="0"/>
          <w:numId w:val="1"/>
        </w:numPr>
        <w:spacing w:after="80"/>
      </w:pPr>
      <w:r>
        <w:t>Pending matters as of October 2026: Robert Roberson's article 11.073 proceedings in Anderson County, Texas; Alabama's response to the McCrory habeas ruling.</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2026-09-28T18:13:13.289Z</dcterms:created>
  <dcterms:modified xsi:type="dcterms:W3CDTF">2026-09-28T18:13:13.289Z</dcterms:modified>
</cp:coreProperties>
</file>

<file path=docProps/custom.xml><?xml version="1.0" encoding="utf-8"?>
<Properties xmlns="http://schemas.openxmlformats.org/officeDocument/2006/custom-properties" xmlns:vt="http://schemas.openxmlformats.org/officeDocument/2006/docPropsVTypes"/>
</file>