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Law of Bourbon</w:t>
      </w:r>
    </w:p>
    <w:p>
      <w:pPr>
        <w:spacing w:after="200"/>
      </w:pPr>
      <w:r>
        <w:rPr>
          <w:rFonts w:ascii="Montserrat" w:cs="Montserrat" w:eastAsia="Montserrat" w:hAnsi="Montserrat"/>
          <w:b/>
          <w:bCs/>
          <w:color w:val="E87722"/>
          <w:sz w:val="24"/>
          <w:szCs w:val="24"/>
        </w:rPr>
        <w:t xml:space="preserve">Brian Haara</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the law of bourbon whiskey and how disputes among distillers helped shape American trademark, consumer protection, and false advertising law. It covers the federal standard of identity for bourbon, the Bottled-in-Bond Act of 1897, the Pure Food and Drug Act of 1906 and President Taft's 1909 whisky decision, litigation over family names and trade dress, puffery, undefined label terms, and sourced whiskey. It reviews developments through September 2026, including TTB's recodified and proposed labeling rules,</w:t>
      </w:r>
      <w:r>
        <w:rPr>
          <w:i/>
          <w:iCs/>
        </w:rPr>
        <w:t xml:space="preserve">Jack Daniel's Properties, Inc. v. VIP Products LLC</w:t>
      </w:r>
      <w:r>
        <w:t xml:space="preserve">, the 2025–2026 tariff disputes, Kentucky's barrel tax phase-out, and direct-to-consumer shipping.</w:t>
      </w:r>
    </w:p>
    <w:p>
      <w:pPr>
        <w:pStyle w:val="Heading2"/>
        <w:spacing w:after="120" w:before="240"/>
      </w:pPr>
      <w:r>
        <w:rPr>
          <w:b/>
          <w:bCs/>
        </w:rPr>
        <w:t xml:space="preserve">Learning Objectives</w:t>
      </w:r>
    </w:p>
    <w:p>
      <w:pPr>
        <w:pStyle w:val="ListParagraph"/>
        <w:numPr>
          <w:ilvl w:val="0"/>
          <w:numId w:val="1"/>
        </w:numPr>
        <w:spacing w:after="80"/>
      </w:pPr>
      <w:r>
        <w:t xml:space="preserve">State the federal requirements for "bourbon whisky" and "straight bourbon whisky" and explain how finished and flavored products must be labeled.</w:t>
      </w:r>
    </w:p>
    <w:p>
      <w:pPr>
        <w:pStyle w:val="ListParagraph"/>
        <w:numPr>
          <w:ilvl w:val="0"/>
          <w:numId w:val="1"/>
        </w:numPr>
        <w:spacing w:after="80"/>
      </w:pPr>
      <w:r>
        <w:t xml:space="preserve">Describe the requirements and history of the Bottled-in-Bond Act and the 1909 Taft decision on the meaning of "whisky."</w:t>
      </w:r>
    </w:p>
    <w:p>
      <w:pPr>
        <w:pStyle w:val="ListParagraph"/>
        <w:numPr>
          <w:ilvl w:val="0"/>
          <w:numId w:val="1"/>
        </w:numPr>
        <w:spacing w:after="80"/>
      </w:pPr>
      <w:r>
        <w:t xml:space="preserve">Apply likelihood-of-confusion principles to disputes over personal names, historic brands, and trade dress.</w:t>
      </w:r>
    </w:p>
    <w:p>
      <w:pPr>
        <w:pStyle w:val="ListParagraph"/>
        <w:numPr>
          <w:ilvl w:val="0"/>
          <w:numId w:val="1"/>
        </w:numPr>
        <w:spacing w:after="80"/>
      </w:pPr>
      <w:r>
        <w:t xml:space="preserve">Distinguish actionable misrepresentations from puffery in alcohol labeling, including "handmade," "craft," and "small batch."</w:t>
      </w:r>
    </w:p>
    <w:p>
      <w:pPr>
        <w:pStyle w:val="ListParagraph"/>
        <w:numPr>
          <w:ilvl w:val="0"/>
          <w:numId w:val="1"/>
        </w:numPr>
        <w:spacing w:after="80"/>
      </w:pPr>
      <w:r>
        <w:t xml:space="preserve">Identify post-2021 regulatory, trade, tax, and litigation developments affecting American whiskey.</w:t>
      </w:r>
    </w:p>
    <w:p>
      <w:pPr>
        <w:pStyle w:val="Heading2"/>
        <w:spacing w:after="120" w:before="240"/>
      </w:pPr>
      <w:r>
        <w:rPr>
          <w:b/>
          <w:bCs/>
        </w:rPr>
        <w:t xml:space="preserve">The Federal Standard of Identity for Bourbon</w:t>
      </w:r>
    </w:p>
    <w:p>
      <w:pPr>
        <w:pStyle w:val="ListParagraph"/>
        <w:numPr>
          <w:ilvl w:val="0"/>
          <w:numId w:val="1"/>
        </w:numPr>
        <w:spacing w:after="80"/>
      </w:pPr>
      <w:r>
        <w:rPr>
          <w:b/>
          <w:bCs/>
        </w:rPr>
        <w:t xml:space="preserve">Authority.</w:t>
      </w:r>
      <w:r>
        <w:t xml:space="preserve">Standards of identity are issued under the Federal Alcohol Administration Act, 27 U.S.C. § 205(e), and administered by the Alcohol and Tobacco Tax and Trade Bureau (TTB). Whisky standards appear at 27 C.F.R. § 5.143.</w:t>
      </w:r>
    </w:p>
    <w:p>
      <w:pPr>
        <w:pStyle w:val="ListParagraph"/>
        <w:numPr>
          <w:ilvl w:val="0"/>
          <w:numId w:val="1"/>
        </w:numPr>
        <w:spacing w:after="80"/>
      </w:pPr>
      <w:r>
        <w:rPr>
          <w:b/>
          <w:bCs/>
        </w:rPr>
        <w:t xml:space="preserve">Bourbon whisky.</w:t>
      </w:r>
      <w:r>
        <w:t xml:space="preserve">Whisky made in the United States from a fermented mash of at least 51 percent corn, distilled at 160 proof or less, stored at 125 proof or less in charred new oak containers, and bottled at not less than 80 proof. There is no maximum bottling proof.</w:t>
      </w:r>
    </w:p>
    <w:p>
      <w:pPr>
        <w:pStyle w:val="ListParagraph"/>
        <w:numPr>
          <w:ilvl w:val="0"/>
          <w:numId w:val="1"/>
        </w:numPr>
        <w:spacing w:after="80"/>
      </w:pPr>
      <w:r>
        <w:rPr>
          <w:b/>
          <w:bCs/>
        </w:rPr>
        <w:t xml:space="preserve">No additives.</w:t>
      </w:r>
      <w:r>
        <w:t xml:space="preserve">Harmless coloring, flavoring, and blending materials are permitted in some whisky types but not in bourbon whisky. Only water may be added.</w:t>
      </w:r>
    </w:p>
    <w:p>
      <w:pPr>
        <w:pStyle w:val="ListParagraph"/>
        <w:numPr>
          <w:ilvl w:val="0"/>
          <w:numId w:val="1"/>
        </w:numPr>
        <w:spacing w:after="80"/>
      </w:pPr>
      <w:r>
        <w:rPr>
          <w:b/>
          <w:bCs/>
        </w:rPr>
        <w:t xml:space="preserve">Straight bourbon</w:t>
      </w:r>
      <w:r>
        <w:t xml:space="preserve">must be stored at least two years in charred new oak containers, and whisky aged less than four years must bear an age statement.</w:t>
      </w:r>
    </w:p>
    <w:p>
      <w:pPr>
        <w:pStyle w:val="ListParagraph"/>
        <w:numPr>
          <w:ilvl w:val="0"/>
          <w:numId w:val="1"/>
        </w:numPr>
        <w:spacing w:after="80"/>
      </w:pPr>
      <w:r>
        <w:rPr>
          <w:b/>
          <w:bCs/>
        </w:rPr>
        <w:t xml:space="preserve">Finished and flavored products.</w:t>
      </w:r>
      <w:r>
        <w:t xml:space="preserve">Flavored products based on bourbon may not be labeled simply as bourbon. Under TTB guidance (Nov. 2024), bourbon further stored in a used wine or spirits barrel no longer meets the new-charred-oak requirement. It is a distilled spirits specialty (27 C.F.R. § 5.156) labeled with a statement of composition such as "Bourbon whisky finished in sherry barrels," and a formula is required. The guest anticipated a new rule, but TTB's 2022 recodification created no separate finished-bourbon category; the specialty-product approach is how such labels are allowed.</w:t>
      </w:r>
    </w:p>
    <w:p>
      <w:pPr>
        <w:pStyle w:val="Heading2"/>
        <w:spacing w:after="120" w:before="240"/>
      </w:pPr>
      <w:r>
        <w:rPr>
          <w:b/>
          <w:bCs/>
        </w:rPr>
        <w:t xml:space="preserve">Bottled in Bond, Pure Food and Drug, and the Taft Decision</w:t>
      </w:r>
    </w:p>
    <w:p>
      <w:pPr>
        <w:pStyle w:val="ListParagraph"/>
        <w:numPr>
          <w:ilvl w:val="0"/>
          <w:numId w:val="1"/>
        </w:numPr>
        <w:spacing w:after="80"/>
      </w:pPr>
      <w:r>
        <w:rPr>
          <w:b/>
          <w:bCs/>
        </w:rPr>
        <w:t xml:space="preserve">Bottled-in-Bond Act of 1897</w:t>
      </w:r>
      <w:r>
        <w:t xml:space="preserve">(Mar. 3, 1897). Championed by Colonel E.H. Taylor, Jr. and Treasury Secretary John G. Carlisle, the Act created a voluntary, government-supervised designation in response to adulteration by rectifiers. It also served tax purposes, giving distillers an incentive and helping ensure collection of excise taxes.</w:t>
      </w:r>
    </w:p>
    <w:p>
      <w:pPr>
        <w:pStyle w:val="ListParagraph"/>
        <w:numPr>
          <w:ilvl w:val="0"/>
          <w:numId w:val="1"/>
        </w:numPr>
        <w:spacing w:after="80"/>
      </w:pPr>
      <w:r>
        <w:rPr>
          <w:b/>
          <w:bCs/>
        </w:rPr>
        <w:t xml:space="preserve">Current requirements</w:t>
      </w:r>
      <w:r>
        <w:t xml:space="preserve">(27 C.F.R. § 5.88). Spirits must be distilled in one distilling season (January–June or July–December) by the same distiller at the same distillery, stored at least four years in wood, reduced only with pure water, and bottled at 100 proof. "Same distiller" means a single producer, not a single individual.</w:t>
      </w:r>
    </w:p>
    <w:p>
      <w:pPr>
        <w:pStyle w:val="ListParagraph"/>
        <w:numPr>
          <w:ilvl w:val="0"/>
          <w:numId w:val="1"/>
        </w:numPr>
        <w:spacing w:after="80"/>
      </w:pPr>
      <w:r>
        <w:rPr>
          <w:b/>
          <w:bCs/>
        </w:rPr>
        <w:t xml:space="preserve">Pure Food and Drug Act of 1906.</w:t>
      </w:r>
      <w:r>
        <w:t xml:space="preserve">The Act barred adulterated and misbranded foods and drugs in interstate commerce. Under the government's initial interpretation, whisky made from neutral spirits had to be labeled "imitation whisky."</w:t>
      </w:r>
    </w:p>
    <w:p>
      <w:pPr>
        <w:pStyle w:val="ListParagraph"/>
        <w:numPr>
          <w:ilvl w:val="0"/>
          <w:numId w:val="1"/>
        </w:numPr>
        <w:spacing w:after="80"/>
      </w:pPr>
      <w:r>
        <w:rPr>
          <w:b/>
          <w:bCs/>
        </w:rPr>
        <w:t xml:space="preserve">Taft decision (Dec. 1909).</w:t>
      </w:r>
      <w:r>
        <w:t xml:space="preserve">President Taft concluded the question was "not one of health" but "of correct branding to prevent deceit." He allowed neutral-spirits products to be sold as whisky if labeled accurately, such as "whisky made from neutral spirits" or "blend of straight whisky and whisky made from neutral spirits," while straight whisky could be labeled "straight whisky." The guest's statement that Taft required the label "imitation whiskey" describes the earlier interpretation that Taft rejected.</w:t>
      </w:r>
    </w:p>
    <w:p>
      <w:pPr>
        <w:pStyle w:val="Heading2"/>
        <w:spacing w:after="120" w:before="240"/>
      </w:pPr>
      <w:r>
        <w:rPr>
          <w:b/>
          <w:bCs/>
        </w:rPr>
        <w:t xml:space="preserve">Trademarks, Trade Dress, and Family Names</w:t>
      </w:r>
    </w:p>
    <w:p>
      <w:pPr>
        <w:pStyle w:val="ListParagraph"/>
        <w:numPr>
          <w:ilvl w:val="0"/>
          <w:numId w:val="1"/>
        </w:numPr>
        <w:spacing w:after="80"/>
      </w:pPr>
      <w:r>
        <w:rPr>
          <w:b/>
          <w:bCs/>
        </w:rPr>
        <w:t xml:space="preserve">&lt;em&gt;Pepper v. Labrot&lt;/em&gt;, 8 F. 29 (C.C.D. Ky. 1881).</w:t>
      </w:r>
      <w:r>
        <w:t xml:space="preserve">Justice Stanley Matthews, sitting on circuit, held that "Old Oscar Pepper Distillery" identified the physical distillery, which Labrot &amp; Graham had bought after James E. Pepper's bankruptcy. The buyers could keep the name, and Pepper could not use it elsewhere. The site is now the Woodford Reserve Distillery.</w:t>
      </w:r>
    </w:p>
    <w:p>
      <w:pPr>
        <w:pStyle w:val="ListParagraph"/>
        <w:numPr>
          <w:ilvl w:val="0"/>
          <w:numId w:val="1"/>
        </w:numPr>
        <w:spacing w:after="80"/>
      </w:pPr>
      <w:r>
        <w:rPr>
          <w:b/>
          <w:bCs/>
        </w:rPr>
        <w:t xml:space="preserve">Personal names.</w:t>
      </w:r>
      <w:r>
        <w:t xml:space="preserve">Courts protect the right to use one's own name in business but restrict uses that confuse consumers about source. Surnames require secondary meaning for registration. 15 U.S.C. § 1052(e)(4). In</w:t>
      </w:r>
      <w:r>
        <w:rPr>
          <w:i/>
          <w:iCs/>
        </w:rPr>
        <w:t xml:space="preserve">Country Distillers Products, Inc. v. Samuels, Inc.</w:t>
      </w:r>
      <w:r>
        <w:t xml:space="preserve">(Ky. 1948), the court let T. William Samuels use his name in corporate names with a disclaimer of connection to Country Distillers, owner of the T.W. Samuels brand, but barred "T.W. Samuels" and "Old Samuels" as brands. Samuels later founded Maker's Mark.</w:t>
      </w:r>
    </w:p>
    <w:p>
      <w:pPr>
        <w:pStyle w:val="ListParagraph"/>
        <w:numPr>
          <w:ilvl w:val="0"/>
          <w:numId w:val="1"/>
        </w:numPr>
        <w:spacing w:after="80"/>
      </w:pPr>
      <w:r>
        <w:rPr>
          <w:b/>
          <w:bCs/>
        </w:rPr>
        <w:t xml:space="preserve">Likelihood of confusion.</w:t>
      </w:r>
      <w:r>
        <w:t xml:space="preserve">Infringement claims arise under 15 U.S.C. §§ 1114 and 1125(a). The Sixth Circuit applies the factors in</w:t>
      </w:r>
      <w:r>
        <w:rPr>
          <w:i/>
          <w:iCs/>
        </w:rPr>
        <w:t xml:space="preserve">Frisch's Restaurants, Inc. v. Elby's Big Boy of Steubenville, Inc.</w:t>
      </w:r>
      <w:r>
        <w:t xml:space="preserve">, 670 F.2d 642 (6th Cir. 1982).</w:t>
      </w:r>
    </w:p>
    <w:p>
      <w:pPr>
        <w:pStyle w:val="ListParagraph"/>
        <w:numPr>
          <w:ilvl w:val="0"/>
          <w:numId w:val="1"/>
        </w:numPr>
        <w:spacing w:after="80"/>
      </w:pPr>
      <w:r>
        <w:rPr>
          <w:b/>
          <w:bCs/>
        </w:rPr>
        <w:t xml:space="preserve">&lt;em&gt;Maker's Mark Distillery, Inc. v. Diageo North America, Inc.&lt;/em&gt;, 703 F. Supp. 2d 671 (W.D. Ky. 2010), &lt;em&gt;aff'd&lt;/em&gt;, 679 F.3d 410 (6th Cir. 2012).</w:t>
      </w:r>
      <w:r>
        <w:t xml:space="preserve">The red dripping wax seal is a valid, non-functional trademark, and red dripping wax on Jose Cuervo's Reserva de la Familia tequila infringed it. The tequila was a Cuervo brand, not a Diageo-owned one; Diageo North America was a co-defendant.</w:t>
      </w:r>
    </w:p>
    <w:p>
      <w:pPr>
        <w:pStyle w:val="ListParagraph"/>
        <w:numPr>
          <w:ilvl w:val="0"/>
          <w:numId w:val="1"/>
        </w:numPr>
        <w:spacing w:after="80"/>
      </w:pPr>
      <w:r>
        <w:rPr>
          <w:b/>
          <w:bCs/>
        </w:rPr>
        <w:t xml:space="preserve">&lt;em&gt;Heaven Hill Distilleries, Inc. v. Log Still Distilling, LLC&lt;/em&gt;, 575 F. Supp. 3d 785 (W.D. Ky. 2021).</w:t>
      </w:r>
      <w:r>
        <w:t xml:space="preserve">On December 16, 2021, the court preliminarily enjoined a distillery founded by Dant descendants from using J.W. Dant branding and claims of "reviving" a Dant legacy dating to 1836. The parties settled with an agreed permanent injunction approved July 31, 2023.</w:t>
      </w:r>
    </w:p>
    <w:p>
      <w:pPr>
        <w:pStyle w:val="Heading2"/>
        <w:spacing w:after="120" w:before="240"/>
      </w:pPr>
      <w:r>
        <w:rPr>
          <w:b/>
          <w:bCs/>
        </w:rPr>
        <w:t xml:space="preserve">False Advertising, Puffery, and Undefined Terms</w:t>
      </w:r>
    </w:p>
    <w:p>
      <w:pPr>
        <w:pStyle w:val="ListParagraph"/>
        <w:numPr>
          <w:ilvl w:val="0"/>
          <w:numId w:val="1"/>
        </w:numPr>
        <w:spacing w:after="80"/>
      </w:pPr>
      <w:r>
        <w:rPr>
          <w:b/>
          <w:bCs/>
        </w:rPr>
        <w:t xml:space="preserve">Undefined terms.</w:t>
      </w:r>
      <w:r>
        <w:t xml:space="preserve">27 C.F.R. Part 5 prohibits false or misleading label statements, but TTB has not defined "small batch," "single barrel," "craft," or "handmade."</w:t>
      </w:r>
    </w:p>
    <w:p>
      <w:pPr>
        <w:pStyle w:val="ListParagraph"/>
        <w:numPr>
          <w:ilvl w:val="0"/>
          <w:numId w:val="1"/>
        </w:numPr>
        <w:spacing w:after="80"/>
      </w:pPr>
      <w:r>
        <w:rPr>
          <w:b/>
          <w:bCs/>
        </w:rPr>
        <w:t xml:space="preserve">Puffery.</w:t>
      </w:r>
      <w:r>
        <w:t xml:space="preserve">Vague or exaggerated claims that no reasonable consumer would treat as fact are not actionable. Specific, measurable, or comparative claims may be.</w:t>
      </w:r>
    </w:p>
    <w:p>
      <w:pPr>
        <w:pStyle w:val="ListParagraph"/>
        <w:numPr>
          <w:ilvl w:val="0"/>
          <w:numId w:val="1"/>
        </w:numPr>
        <w:spacing w:after="80"/>
      </w:pPr>
      <w:r>
        <w:rPr>
          <w:b/>
          <w:bCs/>
        </w:rPr>
        <w:t xml:space="preserve">"Handmade."</w:t>
      </w:r>
      <w:r>
        <w:rPr>
          <w:i/>
          <w:iCs/>
        </w:rPr>
        <w:t xml:space="preserve">Salters v. Beam Suntory, Inc.</w:t>
      </w:r>
      <w:r>
        <w:t xml:space="preserve">, No. 4:14-cv-659 (N.D. Fla. May 1, 2015), dismissed claims against Maker's Mark because "no reasonable person would understand 'handmade' in this context to mean literally by hand."</w:t>
      </w:r>
      <w:r>
        <w:rPr>
          <w:i/>
          <w:iCs/>
        </w:rPr>
        <w:t xml:space="preserve">Nowrouzi v. Maker's Mark Distillery, Inc.</w:t>
      </w:r>
      <w:r>
        <w:t xml:space="preserve">(S.D. Cal. July 2015) followed.</w:t>
      </w:r>
    </w:p>
    <w:p>
      <w:pPr>
        <w:pStyle w:val="ListParagraph"/>
        <w:numPr>
          <w:ilvl w:val="0"/>
          <w:numId w:val="1"/>
        </w:numPr>
        <w:spacing w:after="80"/>
      </w:pPr>
      <w:r>
        <w:rPr>
          <w:b/>
          <w:bCs/>
        </w:rPr>
        <w:t xml:space="preserve">Sourced whiskey.</w:t>
      </w:r>
      <w:r>
        <w:t xml:space="preserve">Three class actions challenged Templeton Rye's "small batch" and "Prohibition Era Recipe" claims when the whiskey was distilled by MGP in Lawrenceburg, Indiana. A 2015 settlement in the Northern District of Illinois provided up to $2.5 million in refunds and fees and required labels to say "Distilled in Indiana."</w:t>
      </w:r>
    </w:p>
    <w:p>
      <w:pPr>
        <w:pStyle w:val="ListParagraph"/>
        <w:numPr>
          <w:ilvl w:val="0"/>
          <w:numId w:val="1"/>
        </w:numPr>
        <w:spacing w:after="80"/>
      </w:pPr>
      <w:r>
        <w:rPr>
          <w:b/>
          <w:bCs/>
        </w:rPr>
        <w:t xml:space="preserve">Assumed names.</w:t>
      </w:r>
      <w:r>
        <w:t xml:space="preserve">Brands may use trade names, such as Old Rip Van Winkle Distillery for bourbons made at Buffalo Trace, but not to misstate who made a product or where.</w:t>
      </w:r>
    </w:p>
    <w:p>
      <w:pPr>
        <w:pStyle w:val="ListParagraph"/>
        <w:numPr>
          <w:ilvl w:val="0"/>
          <w:numId w:val="1"/>
        </w:numPr>
        <w:spacing w:after="80"/>
      </w:pPr>
      <w:r>
        <w:rPr>
          <w:b/>
          <w:bCs/>
        </w:rPr>
        <w:t xml:space="preserve">Beyond bourbon.</w:t>
      </w:r>
      <w:r>
        <w:rPr>
          <w:i/>
          <w:iCs/>
        </w:rPr>
        <w:t xml:space="preserve">McNeil-PPC, Inc. v. Pfizer Inc.</w:t>
      </w:r>
      <w:r>
        <w:t xml:space="preserve">, 351 F. Supp. 2d 226 (S.D.N.Y. 2005), preliminarily enjoined ads claiming Listerine was "as effective as floss" against plaque and gingivitis (the guest described the claim as "better" than floss). In May 2012, Skechers agreed to pay $40 million to settle FTC charges over unsupported toning-shoe claims. Those ads used Joe Montana's name, not Joe Namath's.</w:t>
      </w:r>
    </w:p>
    <w:p>
      <w:pPr>
        <w:pStyle w:val="Heading2"/>
        <w:spacing w:after="120" w:before="240"/>
      </w:pPr>
      <w:r>
        <w:rPr>
          <w:b/>
          <w:bCs/>
        </w:rPr>
        <w:t xml:space="preserve">Developments to Know</w:t>
      </w:r>
    </w:p>
    <w:p>
      <w:pPr>
        <w:pStyle w:val="ListParagraph"/>
        <w:numPr>
          <w:ilvl w:val="0"/>
          <w:numId w:val="1"/>
        </w:numPr>
        <w:spacing w:after="80"/>
      </w:pPr>
      <w:r>
        <w:rPr>
          <w:b/>
          <w:bCs/>
        </w:rPr>
        <w:t xml:space="preserve">TTB recodification (Feb. 9, 2022).</w:t>
      </w:r>
      <w:r>
        <w:t xml:space="preserve">T.D. TTB-176, effective March 11, 2022, reorganized 27 C.F.R. Parts 5 and 7 without requiring label changes.</w:t>
      </w:r>
    </w:p>
    <w:p>
      <w:pPr>
        <w:pStyle w:val="ListParagraph"/>
        <w:numPr>
          <w:ilvl w:val="0"/>
          <w:numId w:val="1"/>
        </w:numPr>
        <w:spacing w:after="80"/>
      </w:pPr>
      <w:r>
        <w:rPr>
          <w:b/>
          <w:bCs/>
        </w:rPr>
        <w:t xml:space="preserve">Kentucky barrel tax (HB 5, 2023).</w:t>
      </w:r>
      <w:r>
        <w:t xml:space="preserve">Beginning January 1, 2026, 96 percent of the value of aging barrels is taxable, declining four points a year to full exemption in 2043, with replacement funding for schools and fire districts. Supporters say it keeps inventory in Kentucky; local governments warn of revenue losses.</w:t>
      </w:r>
    </w:p>
    <w:p>
      <w:pPr>
        <w:pStyle w:val="ListParagraph"/>
        <w:numPr>
          <w:ilvl w:val="0"/>
          <w:numId w:val="1"/>
        </w:numPr>
        <w:spacing w:after="80"/>
      </w:pPr>
      <w:r>
        <w:rPr>
          <w:b/>
          <w:bCs/>
        </w:rPr>
        <w:t xml:space="preserve">&lt;em&gt;Jack Daniel's Properties, Inc. v. VIP Products LLC&lt;/em&gt;, 599 U.S. 140 (2023).</w:t>
      </w:r>
      <w:r>
        <w:t xml:space="preserve">The</w:t>
      </w:r>
      <w:r>
        <w:rPr>
          <w:i/>
          <w:iCs/>
        </w:rPr>
        <w:t xml:space="preserve">Rogers v. Grimaldi</w:t>
      </w:r>
      <w:r>
        <w:t xml:space="preserve">test does not apply when a parodist uses a mark as a designation of source, and the noncommercial-use dilution exclusion does not cover such uses. On remand, the district court found no likelihood of confusion but found tarnishment (Jan. 2025). In August 2026 the Ninth Circuit vacated the injunction and ruled for VIP on dilution.</w:t>
      </w:r>
    </w:p>
    <w:p>
      <w:pPr>
        <w:pStyle w:val="ListParagraph"/>
        <w:numPr>
          <w:ilvl w:val="0"/>
          <w:numId w:val="1"/>
        </w:numPr>
        <w:spacing w:after="80"/>
      </w:pPr>
      <w:r>
        <w:rPr>
          <w:b/>
          <w:bCs/>
        </w:rPr>
        <w:t xml:space="preserve">American single malt whisky (effective Jan. 19, 2025).</w:t>
      </w:r>
      <w:r>
        <w:t xml:space="preserve">A new TTB standard requires 100 percent malted barley, production at one U.S. distillery, and oak barrels of 700 liters or less.</w:t>
      </w:r>
    </w:p>
    <w:p>
      <w:pPr>
        <w:pStyle w:val="ListParagraph"/>
        <w:numPr>
          <w:ilvl w:val="0"/>
          <w:numId w:val="1"/>
        </w:numPr>
        <w:spacing w:after="80"/>
      </w:pPr>
      <w:r>
        <w:rPr>
          <w:b/>
          <w:bCs/>
        </w:rPr>
        <w:t xml:space="preserve">Maker's Mark wax seal (Jan. 2025).</w:t>
      </w:r>
      <w:r>
        <w:t xml:space="preserve">Maker's Mark settled litigation with Spalding Group (Ted's Cigars) in the Western District of Kentucky, with a proposed order barring the red wax drip design on its "Bourbon Cigar" packaging.</w:t>
      </w:r>
    </w:p>
    <w:p>
      <w:pPr>
        <w:pStyle w:val="ListParagraph"/>
        <w:numPr>
          <w:ilvl w:val="0"/>
          <w:numId w:val="1"/>
        </w:numPr>
        <w:spacing w:after="80"/>
      </w:pPr>
      <w:r>
        <w:rPr>
          <w:b/>
          <w:bCs/>
        </w:rPr>
        <w:t xml:space="preserve">TTB labeling proposals (Jan. 17, 2025).</w:t>
      </w:r>
      <w:r>
        <w:t xml:space="preserve">Notice No. 237 would require "Alcohol Facts" statements (alcohol content, pure alcohol per serving, calories, carbohydrates, fat, protein), and Notice No. 238 would require disclosure of nine major food allergens. Comments closed August 15, 2025. As of mid-2026, final rules were projected for March 2027.</w:t>
      </w:r>
    </w:p>
    <w:p>
      <w:pPr>
        <w:pStyle w:val="ListParagraph"/>
        <w:numPr>
          <w:ilvl w:val="0"/>
          <w:numId w:val="1"/>
        </w:numPr>
        <w:spacing w:after="80"/>
      </w:pPr>
      <w:r>
        <w:rPr>
          <w:b/>
          <w:bCs/>
        </w:rPr>
        <w:t xml:space="preserve">EU tariffs.</w:t>
      </w:r>
      <w:r>
        <w:t xml:space="preserve">The EU's 2018 tariff on American whiskey was suspended in 2022. After the EU proposed a 50 percent whiskey tariff and the President threatened a 200 percent tariff on EU wine and spirits (Mar. 2025), the EU's April 2025 countermeasures omitted bourbon. A later package reaching U.S. spirits was suspended in August 2025, and on July 31, 2026 the EU extended that suspension without an end date. EU spirits face a 15 percent U.S. tariff under the 2025 U.S.–EU joint statement.</w:t>
      </w:r>
    </w:p>
    <w:p>
      <w:pPr>
        <w:pStyle w:val="ListParagraph"/>
        <w:numPr>
          <w:ilvl w:val="0"/>
          <w:numId w:val="1"/>
        </w:numPr>
        <w:spacing w:after="80"/>
      </w:pPr>
      <w:r>
        <w:rPr>
          <w:b/>
          <w:bCs/>
        </w:rPr>
        <w:t xml:space="preserve">Canada.</w:t>
      </w:r>
      <w:r>
        <w:t xml:space="preserve">Most provinces removed U.S. alcohol in March 2025; Alberta and Saskatchewan restored it by June 2025. U.S. spirits exports to Canada fell about 70 percent from March through December 2025, and American whiskey exports overall fell 19 percent in 2025, to about $1.08 billion. In summer 2026 the United States imposed 50 percent duties on specified Canadian goods under Section 338 of the Tariff Act of 1930, and on September 8, 2026 it announced a ban on certain Canadian alcoholic beverages effective September 29. The U.S. cites discrimination against its alcohol; Canadian officials link the bans to U.S. tariffs.</w:t>
      </w:r>
    </w:p>
    <w:p>
      <w:pPr>
        <w:pStyle w:val="ListParagraph"/>
        <w:numPr>
          <w:ilvl w:val="0"/>
          <w:numId w:val="1"/>
        </w:numPr>
        <w:spacing w:after="80"/>
      </w:pPr>
      <w:r>
        <w:rPr>
          <w:b/>
          <w:bCs/>
        </w:rPr>
        <w:t xml:space="preserve">Direct-to-consumer shipping.</w:t>
      </w:r>
      <w:r>
        <w:t xml:space="preserve">About eight states and the District of Columbia, including Kentucky, permit interstate DTC spirits shipping. California's AB 1246 began a one-year pilot on January 1, 2026. In wine cases, the Sixth Circuit struck Ohio's ban on out-of-state retailer shipments in</w:t>
      </w:r>
      <w:r>
        <w:rPr>
          <w:i/>
          <w:iCs/>
        </w:rPr>
        <w:t xml:space="preserve">Block v. Canepa</w:t>
      </w:r>
      <w:r>
        <w:t xml:space="preserve">(May 2026), deepening a circuit split, and the Supreme Court denied review in</w:t>
      </w:r>
      <w:r>
        <w:rPr>
          <w:i/>
          <w:iCs/>
        </w:rPr>
        <w:t xml:space="preserve">Chicago Wine Co. v. Braun</w:t>
      </w:r>
      <w:r>
        <w:t xml:space="preserve">(May 18, 2026).</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2026-09-28T18:13:15.136Z</dcterms:created>
  <dcterms:modified xsi:type="dcterms:W3CDTF">2026-09-28T18:13:15.136Z</dcterms:modified>
</cp:coreProperties>
</file>

<file path=docProps/custom.xml><?xml version="1.0" encoding="utf-8"?>
<Properties xmlns="http://schemas.openxmlformats.org/officeDocument/2006/custom-properties" xmlns:vt="http://schemas.openxmlformats.org/officeDocument/2006/docPropsVTypes"/>
</file>