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Montserrat" w:cs="Montserrat" w:eastAsia="Montserrat" w:hAnsi="Montserrat"/>
          <w:b/>
          <w:bCs/>
          <w:sz w:val="36"/>
          <w:szCs w:val="36"/>
        </w:rPr>
        <w:t>Ethics and Batson: Race, Peremptory Challenges, and the Rules of Professional Conduct</w:t>
      </w:r>
    </w:p>
    <w:p>
      <w:pPr>
        <w:spacing w:after="200"/>
      </w:pPr>
      <w:r>
        <w:rPr>
          <w:rFonts w:ascii="Montserrat" w:cs="Montserrat" w:eastAsia="Montserrat" w:hAnsi="Montserrat"/>
          <w:b/>
          <w:bCs/>
          <w:color w:val="E87722"/>
          <w:sz w:val="24"/>
          <w:szCs w:val="24"/>
        </w:rPr>
        <w:t>Peter A. Joy, Henry Hitchcock Professor of Law and Director of the Criminal Justice Clinic, Washington University in St. Louis School of Law</w:t>
      </w:r>
    </w:p>
    <w:p>
      <w:pPr>
        <w:pStyle w:val="Heading2"/>
        <w:spacing w:after="120" w:before="240"/>
      </w:pPr>
      <w:r>
        <w:rPr>
          <w:b/>
          <w:bCs/>
        </w:rPr>
        <w:t>Overview</w:t>
      </w:r>
    </w:p>
    <w:p>
      <w:pPr>
        <w:spacing w:after="160"/>
      </w:pPr>
      <w:r>
        <w:t>This program examines racial discrimination in jury selection and the professional responsibility of lawyers who exercise peremptory challenges. Professor Peter Joy traces the history of excluding Black Americans from juries, explains the three-step framework of Batson v. Kentucky (1986) and why its second step, which accepts any facially race-neutral reason, invites pretext, and analyzes how race-based strikes violate the Rules of Professional Conduct, including Rule 8.4(d) (conduct prejudicial to the administration of justice), Rule 3.3 (candor toward the tribunal), Rule 3.8 (special responsibilities of a prosecutor), and Rule 8.4(g) (discrimination and harassment). The program reviews Foster v. Chatman (2016) and Flowers v. Mississippi (2019), discusses reforms such as Washington's General Rule 37 and the abolition of peremptory challenges, and updates the discussion with developments through 2026, including Arizona's elimination of peremptories, California, Connecticut, and New Jersey rules, ABA Formal Opinion 517 (2025), and Pitchford v. Cain (2026).</w:t>
      </w:r>
    </w:p>
    <w:p>
      <w:pPr>
        <w:pStyle w:val="Heading2"/>
        <w:spacing w:after="120" w:before="240"/>
      </w:pPr>
      <w:r>
        <w:rPr>
          <w:b/>
          <w:bCs/>
        </w:rPr>
        <w:t>Learning Objectives</w:t>
      </w:r>
    </w:p>
    <w:p>
      <w:pPr>
        <w:pStyle w:val="ListParagraph"/>
        <w:numPr>
          <w:ilvl w:val="0"/>
          <w:numId w:val="1"/>
        </w:numPr>
        <w:spacing w:after="80"/>
      </w:pPr>
      <w:r>
        <w:t>Explain the three-step Batson framework and identify why the second step's acceptance of any race-neutral reason has made the framework difficult to enforce.</w:t>
      </w:r>
    </w:p>
    <w:p>
      <w:pPr>
        <w:pStyle w:val="ListParagraph"/>
        <w:numPr>
          <w:ilvl w:val="0"/>
          <w:numId w:val="1"/>
        </w:numPr>
        <w:spacing w:after="80"/>
      </w:pPr>
      <w:r>
        <w:t>Identify the Rules of Professional Conduct implicated when a lawyer exercises a peremptory challenge on the basis of race, including Rules 3.3, 3.8, 8.4(d), and 8.4(g), and the significance of Comment 5 to Rule 8.4(g).</w:t>
      </w:r>
    </w:p>
    <w:p>
      <w:pPr>
        <w:pStyle w:val="ListParagraph"/>
        <w:numPr>
          <w:ilvl w:val="0"/>
          <w:numId w:val="1"/>
        </w:numPr>
        <w:spacing w:after="80"/>
      </w:pPr>
      <w:r>
        <w:t>Describe the holdings of Foster v. Chatman, Flowers v. Mississippi, and Pitchford v. Cain and what they require of trial courts evaluating Batson challenges.</w:t>
      </w:r>
    </w:p>
    <w:p>
      <w:pPr>
        <w:pStyle w:val="ListParagraph"/>
        <w:numPr>
          <w:ilvl w:val="0"/>
          <w:numId w:val="1"/>
        </w:numPr>
        <w:spacing w:after="80"/>
      </w:pPr>
      <w:r>
        <w:t>Compare state reforms that replace or supplement Batson, including objective-observer rules in Washington, California, Connecticut, and New Jersey and Arizona's abolition of peremptory challenges.</w:t>
      </w:r>
    </w:p>
    <w:p>
      <w:pPr>
        <w:pStyle w:val="ListParagraph"/>
        <w:numPr>
          <w:ilvl w:val="0"/>
          <w:numId w:val="1"/>
        </w:numPr>
        <w:spacing w:after="80"/>
      </w:pPr>
      <w:r>
        <w:t>Apply ABA Formal Opinion 517 (2025) to a lawyer's own jury-selection decisions, including reliance on clients, jury consultants, and technology.</w:t>
      </w:r>
    </w:p>
    <w:p>
      <w:pPr>
        <w:pStyle w:val="Heading2"/>
        <w:spacing w:after="120" w:before="240"/>
      </w:pPr>
      <w:r>
        <w:rPr>
          <w:b/>
          <w:bCs/>
        </w:rPr>
        <w:t>History of Racial Exclusion from Juries</w:t>
      </w:r>
    </w:p>
    <w:p>
      <w:pPr>
        <w:pStyle w:val="ListParagraph"/>
        <w:numPr>
          <w:ilvl w:val="0"/>
          <w:numId w:val="1"/>
        </w:numPr>
        <w:spacing w:after="80"/>
      </w:pPr>
      <w:r>
        <w:t>Black Americans were excluded from juries by law until the Civil Rights Act of 1875 prohibited race-based exclusion from jury service. See Strauder v. West Virginia, 100 U.S. 303 (1880).</w:t>
      </w:r>
    </w:p>
    <w:p>
      <w:pPr>
        <w:pStyle w:val="ListParagraph"/>
        <w:numPr>
          <w:ilvl w:val="0"/>
          <w:numId w:val="1"/>
        </w:numPr>
        <w:spacing w:after="80"/>
      </w:pPr>
      <w:r>
        <w:t>Exclusion continued in practice through jury lists drawn from voter rolls at a time when registration was suppressed, and through "key man" systems that allowed local officials to hand-pick prospective jurors.</w:t>
      </w:r>
    </w:p>
    <w:p>
      <w:pPr>
        <w:pStyle w:val="ListParagraph"/>
        <w:numPr>
          <w:ilvl w:val="0"/>
          <w:numId w:val="1"/>
        </w:numPr>
        <w:spacing w:after="80"/>
      </w:pPr>
      <w:r>
        <w:t>Modern jury pools, typically drawn from voter registration and driver's license lists, still omit significant numbers of eligible citizens.</w:t>
      </w:r>
    </w:p>
    <w:p>
      <w:pPr>
        <w:pStyle w:val="Heading2"/>
        <w:spacing w:after="120" w:before="240"/>
      </w:pPr>
      <w:r>
        <w:rPr>
          <w:b/>
          <w:bCs/>
        </w:rPr>
        <w:t>Challenges for Cause and Peremptory Challenges</w:t>
      </w:r>
    </w:p>
    <w:p>
      <w:pPr>
        <w:pStyle w:val="ListParagraph"/>
        <w:numPr>
          <w:ilvl w:val="0"/>
          <w:numId w:val="1"/>
        </w:numPr>
        <w:spacing w:after="80"/>
      </w:pPr>
      <w:r>
        <w:t>A challenge for cause requires a showing, accepted by the judge, that the prospective juror cannot be impartial. A peremptory challenge historically required no stated reason; each side receives an equal number set by statute or rule, often multiplied when there are multiple defendants.</w:t>
      </w:r>
    </w:p>
    <w:p>
      <w:pPr>
        <w:pStyle w:val="ListParagraph"/>
        <w:numPr>
          <w:ilvl w:val="0"/>
          <w:numId w:val="1"/>
        </w:numPr>
        <w:spacing w:after="80"/>
      </w:pPr>
      <w:r>
        <w:t>Swain v. Alabama, 380 U.S. 202 (1965), had required proof of systematic exclusion across cases; Batson v. Kentucky, 476 U.S. 79 (1986), allowed a defendant to establish an equal-protection violation from the prosecutor's strikes in the defendant's own case.</w:t>
      </w:r>
    </w:p>
    <w:p>
      <w:pPr>
        <w:pStyle w:val="ListParagraph"/>
        <w:numPr>
          <w:ilvl w:val="0"/>
          <w:numId w:val="1"/>
        </w:numPr>
        <w:spacing w:after="80"/>
      </w:pPr>
      <w:r>
        <w:t>Batson's protections have been extended to civil cases (Edmonson v. Leesville Concrete Co., 500 U.S. 614 (1991)), to defense strikes (Georgia v. McCollum, 505 U.S. 42 (1992)), and to gender (J.E.B. v. Alabama ex rel. T.B., 511 U.S. 127 (1994)).</w:t>
      </w:r>
    </w:p>
    <w:p>
      <w:pPr>
        <w:pStyle w:val="Heading2"/>
        <w:spacing w:after="120" w:before="240"/>
      </w:pPr>
      <w:r>
        <w:rPr>
          <w:b/>
          <w:bCs/>
        </w:rPr>
        <w:t>The Batson Framework and Its Defect</w:t>
      </w:r>
    </w:p>
    <w:p>
      <w:pPr>
        <w:pStyle w:val="ListParagraph"/>
        <w:numPr>
          <w:ilvl w:val="0"/>
          <w:numId w:val="1"/>
        </w:numPr>
        <w:spacing w:after="80"/>
      </w:pPr>
      <w:r>
        <w:t>Step one: the objecting party makes a prima facie showing that a strike was based on race. Step two: the striking party offers a race-neutral explanation. Step three: the court decides whether the objecting party has proved purposeful discrimination.</w:t>
      </w:r>
    </w:p>
    <w:p>
      <w:pPr>
        <w:pStyle w:val="ListParagraph"/>
        <w:numPr>
          <w:ilvl w:val="0"/>
          <w:numId w:val="1"/>
        </w:numPr>
        <w:spacing w:after="80"/>
      </w:pPr>
      <w:r>
        <w:t>In Purkett v. Elem, 514 U.S. 765 (1995), the Court held that the step-two explanation need not be "persuasive, or even plausible"; its persuasiveness matters only at step three. Professor Joy identifies this as the framework's central defect, inviting pretextual reasons such as a juror's age, demeanor, or level of attention.</w:t>
      </w:r>
    </w:p>
    <w:p>
      <w:pPr>
        <w:pStyle w:val="ListParagraph"/>
        <w:numPr>
          <w:ilvl w:val="0"/>
          <w:numId w:val="1"/>
        </w:numPr>
        <w:spacing w:after="80"/>
      </w:pPr>
      <w:r>
        <w:t>Foster v. Chatman, 578 U.S. 488 (2016): prosecution notes obtained through Georgia's open records law highlighted the names of Black prospective jurors, marked them with a "B," and ranked them against one another; the Court found a Batson violation. No public discipline followed.</w:t>
      </w:r>
    </w:p>
    <w:p>
      <w:pPr>
        <w:pStyle w:val="ListParagraph"/>
        <w:numPr>
          <w:ilvl w:val="0"/>
          <w:numId w:val="1"/>
        </w:numPr>
        <w:spacing w:after="80"/>
      </w:pPr>
      <w:r>
        <w:t>Flowers v. Mississippi, 588 U.S. 284 (2019): the Court reversed a conviction where the same prosecutor had struck 41 of 42 Black prospective jurors across six trials of the same defendant.</w:t>
      </w:r>
    </w:p>
    <w:p>
      <w:pPr>
        <w:pStyle w:val="ListParagraph"/>
        <w:numPr>
          <w:ilvl w:val="0"/>
          <w:numId w:val="1"/>
        </w:numPr>
        <w:spacing w:after="80"/>
      </w:pPr>
      <w:r>
        <w:t>Research on race salience indicates that jurors' implicit biases are more likely to affect verdicts in cases where race is not an obvious issue, which is where voir dire questions about race are least likely to be asked.</w:t>
      </w:r>
    </w:p>
    <w:p>
      <w:pPr>
        <w:pStyle w:val="Heading2"/>
        <w:spacing w:after="120" w:before="240"/>
      </w:pPr>
      <w:r>
        <w:rPr>
          <w:b/>
          <w:bCs/>
        </w:rPr>
        <w:t>Professional Responsibility Implications</w:t>
      </w:r>
    </w:p>
    <w:p>
      <w:pPr>
        <w:pStyle w:val="ListParagraph"/>
        <w:numPr>
          <w:ilvl w:val="0"/>
          <w:numId w:val="1"/>
        </w:numPr>
        <w:spacing w:after="80"/>
      </w:pPr>
      <w:r>
        <w:t>Rule 8.4(d): engaging in conduct prejudicial to the administration of justice. A race-based strike, or deliberately seating a juror believed to be biased, falls within the rule.</w:t>
      </w:r>
    </w:p>
    <w:p>
      <w:pPr>
        <w:pStyle w:val="ListParagraph"/>
        <w:numPr>
          <w:ilvl w:val="0"/>
          <w:numId w:val="1"/>
        </w:numPr>
        <w:spacing w:after="80"/>
      </w:pPr>
      <w:r>
        <w:t>Rule 3.3(a)(1): a lawyer shall not knowingly make a false statement of fact to a tribunal. Offering a pretextual reason for a strike is a false statement to the court.</w:t>
      </w:r>
    </w:p>
    <w:p>
      <w:pPr>
        <w:pStyle w:val="ListParagraph"/>
        <w:numPr>
          <w:ilvl w:val="0"/>
          <w:numId w:val="1"/>
        </w:numPr>
        <w:spacing w:after="80"/>
      </w:pPr>
      <w:r>
        <w:t>Rule 3.8 and its Comment [1]: a prosecutor has the responsibility of a "minister of justice" and not simply that of an advocate. Because comments do not themselves create disciplinary obligations, Professor Joy describes the comment as "a shield but no sword."</w:t>
      </w:r>
    </w:p>
    <w:p>
      <w:pPr>
        <w:pStyle w:val="ListParagraph"/>
        <w:numPr>
          <w:ilvl w:val="0"/>
          <w:numId w:val="1"/>
        </w:numPr>
        <w:spacing w:after="80"/>
      </w:pPr>
      <w:r>
        <w:t>Rule 8.4(g) (ABA Model Rule, adopted 2016) prohibits harassment or discrimination on the basis of race and other protected characteristics in conduct related to the practice of law. Comment [5] states that a trial judge's finding that peremptory challenges were exercised on a discriminatory basis does not alone establish a violation of the rule.</w:t>
      </w:r>
    </w:p>
    <w:p>
      <w:pPr>
        <w:pStyle w:val="ListParagraph"/>
        <w:numPr>
          <w:ilvl w:val="0"/>
          <w:numId w:val="1"/>
        </w:numPr>
        <w:spacing w:after="80"/>
      </w:pPr>
      <w:r>
        <w:t>ABA Formal Opinion 517 (July 9, 2025) concludes that a lawyer who knows or reasonably should know that a peremptory strike constitutes unlawful discrimination violates Rule 8.4(g), and that a lawyer may not avoid responsibility by attributing the decision to a client, a jury consultant, or an AI tool. The Opinion is advisory; states' versions of Rule 8.4(g) vary, and several states have declined to adopt it.</w:t>
      </w:r>
    </w:p>
    <w:p>
      <w:pPr>
        <w:pStyle w:val="Heading2"/>
        <w:spacing w:after="120" w:before="240"/>
      </w:pPr>
      <w:r>
        <w:rPr>
          <w:b/>
          <w:bCs/>
        </w:rPr>
        <w:t>Reform Models</w:t>
      </w:r>
    </w:p>
    <w:p>
      <w:pPr>
        <w:pStyle w:val="ListParagraph"/>
        <w:numPr>
          <w:ilvl w:val="0"/>
          <w:numId w:val="1"/>
        </w:numPr>
        <w:spacing w:after="80"/>
      </w:pPr>
      <w:r>
        <w:t>Washington General Rule 37 (2018): a strike must be denied if an objective observer, aware of implicit, institutional, and unconscious bias, could view race or ethnicity as a factor. The rule lists presumptively invalid reasons (such as prior contact with law enforcement, living in a high-crime neighborhood, or receiving state benefits) and reasons historically associated with improper discrimination (such as inattentiveness or demeanor). The Washington Supreme Court reviews GR 37 rulings de novo and treats a violation as requiring reversal regardless of intent. State v. Tesfasilasye, 518 P.3d 193 (Wash. 2022).</w:t>
      </w:r>
    </w:p>
    <w:p>
      <w:pPr>
        <w:pStyle w:val="ListParagraph"/>
        <w:numPr>
          <w:ilvl w:val="0"/>
          <w:numId w:val="1"/>
        </w:numPr>
        <w:spacing w:after="80"/>
      </w:pPr>
      <w:r>
        <w:t>Arizona abolished peremptory challenges in all criminal and civil trials effective January 1, 2022, the first state to do so.</w:t>
      </w:r>
    </w:p>
    <w:p>
      <w:pPr>
        <w:pStyle w:val="ListParagraph"/>
        <w:numPr>
          <w:ilvl w:val="0"/>
          <w:numId w:val="1"/>
        </w:numPr>
        <w:spacing w:after="80"/>
      </w:pPr>
      <w:r>
        <w:t>California Code of Civil Procedure § 231.7 (AB 3070, 2020) applies an objective-observer standard with presumptively invalid reasons to criminal trials filed on or after January 1, 2022. SB 645 (2025) made the exemption for most civil cases permanent, with exceptions for civil rights and civil commitment matters.</w:t>
      </w:r>
    </w:p>
    <w:p>
      <w:pPr>
        <w:pStyle w:val="ListParagraph"/>
        <w:numPr>
          <w:ilvl w:val="0"/>
          <w:numId w:val="1"/>
        </w:numPr>
        <w:spacing w:after="80"/>
      </w:pPr>
      <w:r>
        <w:t>Connecticut Practice Book § 5-12 (effective October 1, 2022) and New Jersey Court Rule 1:8-3A (effective January 1, 2023) adopt objective-observer standards and require the striking party to state its reasons.</w:t>
      </w:r>
    </w:p>
    <w:p>
      <w:pPr>
        <w:pStyle w:val="ListParagraph"/>
        <w:numPr>
          <w:ilvl w:val="0"/>
          <w:numId w:val="1"/>
        </w:numPr>
        <w:spacing w:after="80"/>
      </w:pPr>
      <w:r>
        <w:t>Other proposals discussed include more representative venires, "peremptory inclusions" allowing a party to protect a juror from a strike, systematic data collection on strikes, and disciplinary enforcement following judicial Batson findings.</w:t>
      </w:r>
    </w:p>
    <w:p>
      <w:pPr>
        <w:pStyle w:val="Heading2"/>
        <w:spacing w:after="120" w:before="240"/>
      </w:pPr>
      <w:r>
        <w:rPr>
          <w:b/>
          <w:bCs/>
        </w:rPr>
        <w:t>Developments to Know</w:t>
      </w:r>
    </w:p>
    <w:p>
      <w:pPr>
        <w:pStyle w:val="ListParagraph"/>
        <w:numPr>
          <w:ilvl w:val="0"/>
          <w:numId w:val="1"/>
        </w:numPr>
        <w:spacing w:after="80"/>
      </w:pPr>
      <w:r>
        <w:t>Pitchford v. Cain (U.S. May 28, 2026): the Supreme Court held 5–4 that a trial court may not resolve a Batson challenge without completing step three; the objecting party must be given an opportunity to show that the proffered reasons are pretextual. The Court granted federal habeas relief.</w:t>
      </w:r>
    </w:p>
    <w:p>
      <w:pPr>
        <w:pStyle w:val="ListParagraph"/>
        <w:numPr>
          <w:ilvl w:val="0"/>
          <w:numId w:val="1"/>
        </w:numPr>
        <w:spacing w:after="80"/>
      </w:pPr>
      <w:r>
        <w:t>ABA Formal Opinion 517 (July 2025): discriminatory peremptory strikes violate Rule 8.4(g); reliance on clients, consultants, or AI does not excuse the lawyer.</w:t>
      </w:r>
    </w:p>
    <w:p>
      <w:pPr>
        <w:pStyle w:val="ListParagraph"/>
        <w:numPr>
          <w:ilvl w:val="0"/>
          <w:numId w:val="1"/>
        </w:numPr>
        <w:spacing w:after="80"/>
      </w:pPr>
      <w:r>
        <w:t>State reforms: Arizona (abolition, 2022); California CCP § 231.7 (criminal, 2022; civil exemption made permanent by SB 645, 2025); Connecticut Practice Book § 5-12 (2022); New Jersey Rule 1:8-3A (2023). Washington's Supreme Court in State v. Tesfasilasye (2022) and later cases has applied GR 37 strictly. Proposals in Colorado, Massachusetts, Mississippi, and New York have not been adopted.</w:t>
      </w:r>
    </w:p>
    <w:p>
      <w:pPr>
        <w:pStyle w:val="ListParagraph"/>
        <w:numPr>
          <w:ilvl w:val="0"/>
          <w:numId w:val="1"/>
        </w:numPr>
        <w:spacing w:after="80"/>
      </w:pPr>
      <w:r>
        <w:t>Discipline remains rare. A 2023 set of complaints filed against New York prosecutors with judicially found Batson violations reported no resulting public discipline. Commentators, including Frampton and Osowski, The End of Batson? (124 Colum. L. Rev. 1 (2024)), argue that abolition of peremptories may be the only effective remedy.</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Open Sans" w:cs="Open Sans" w:eastAsia="Open Sans" w:hAnsi="Open Sans"/>
        <w:color w:val="999999"/>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ontserrat" w:cs="Montserrat" w:eastAsia="Montserrat" w:hAnsi="Montserrat"/>
        <w:color w:val="999999"/>
        <w:sz w:val="16"/>
        <w:szCs w:val="16"/>
      </w:rPr>
      <w:t xml:space="preserve">TalksOnLaw — Written Materials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cs="Open Sans" w:eastAsia="Open Sans" w:hAnsi="Open Sans"/>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pPr>
    <w:rPr>
      <w:rFonts w:ascii="Montserrat" w:cs="Montserrat" w:eastAsia="Montserrat" w:hAnsi="Montserrat"/>
      <w:b/>
      <w:bCs/>
      <w:sz w:val="36"/>
      <w:szCs w:val="36"/>
    </w:rPr>
  </w:style>
  <w:style w:type="paragraph" w:styleId="Heading2">
    <w:name w:val="Heading 2"/>
    <w:basedOn w:val="Normal"/>
    <w:next w:val="Normal"/>
    <w:qFormat/>
    <w:pPr>
      <w:spacing w:after="120" w:before="200"/>
    </w:pPr>
    <w:rPr>
      <w:rFonts w:ascii="Montserrat" w:cs="Montserrat" w:eastAsia="Montserrat" w:hAnsi="Montserrat"/>
      <w:b/>
      <w:bCs/>
      <w:sz w:val="30"/>
      <w:szCs w:val="30"/>
    </w:rPr>
  </w:style>
  <w:style w:type="paragraph" w:styleId="Heading3">
    <w:name w:val="Heading 3"/>
    <w:basedOn w:val="Normal"/>
    <w:next w:val="Normal"/>
    <w:qFormat/>
    <w:pPr>
      <w:spacing w:after="100" w:before="160"/>
    </w:pPr>
    <w:rPr>
      <w:rFonts w:ascii="Montserrat" w:cs="Montserrat" w:eastAsia="Montserrat" w:hAnsi="Montserrat"/>
      <w:b/>
      <w:bCs/>
      <w:sz w:val="26"/>
      <w:szCs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2026-09-28T18:13:13.289Z</dcterms:created>
  <dcterms:modified xsi:type="dcterms:W3CDTF">2026-09-28T18:13:13.289Z</dcterms:modified>
</cp:coreProperties>
</file>

<file path=docProps/custom.xml><?xml version="1.0" encoding="utf-8"?>
<Properties xmlns="http://schemas.openxmlformats.org/officeDocument/2006/custom-properties" xmlns:vt="http://schemas.openxmlformats.org/officeDocument/2006/docPropsVTypes"/>
</file>