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Cyber Risk at Private Funds</w:t>
      </w:r>
    </w:p>
    <w:p>
      <w:pPr>
        <w:spacing w:after="200"/>
      </w:pPr>
      <w:r>
        <w:rPr>
          <w:rFonts w:ascii="Montserrat" w:cs="Montserrat" w:eastAsia="Montserrat" w:hAnsi="Montserrat"/>
          <w:b/>
          <w:bCs/>
          <w:color w:val="E87722"/>
          <w:sz w:val="24"/>
          <w:szCs w:val="24"/>
        </w:rPr>
        <w:t xml:space="preserve">Ira Kustin and Sherrese Smith</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cybersecurity and data privacy obligations of private fund advisers: the threats specific to private funds, the standard of care in fund documents, Gramm-Leach-Bliley and Regulations S-P and S-ID, the Advisers Act compliance rule and SEC examination guidance, state, EU, and Cayman Islands privacy law, vendor oversight, and incident response. It reviews developments through September 2026, including the 2024 Regulation S-P amendments, Form PF event reporting, recent enforcement, and AI-enabled fraud.</w:t>
      </w:r>
    </w:p>
    <w:p>
      <w:pPr>
        <w:pStyle w:val="Heading2"/>
        <w:spacing w:after="120" w:before="240"/>
      </w:pPr>
      <w:r>
        <w:rPr>
          <w:b/>
          <w:bCs/>
        </w:rPr>
        <w:t xml:space="preserve">Learning Objectives</w:t>
      </w:r>
    </w:p>
    <w:p>
      <w:pPr>
        <w:pStyle w:val="ListParagraph"/>
        <w:numPr>
          <w:ilvl w:val="0"/>
          <w:numId w:val="1"/>
        </w:numPr>
        <w:spacing w:after="80"/>
      </w:pPr>
      <w:r>
        <w:t xml:space="preserve">Identify the cyber risks particular to private fund advisers and how a breach can affect exculpation and indemnification under fund documents.</w:t>
      </w:r>
    </w:p>
    <w:p>
      <w:pPr>
        <w:pStyle w:val="ListParagraph"/>
        <w:numPr>
          <w:ilvl w:val="0"/>
          <w:numId w:val="1"/>
        </w:numPr>
        <w:spacing w:after="80"/>
      </w:pPr>
      <w:r>
        <w:t xml:space="preserve">Determine when Regulation S-P and Regulation S-ID apply to a private fund adviser and what the 2024 Regulation S-P amendments require.</w:t>
      </w:r>
    </w:p>
    <w:p>
      <w:pPr>
        <w:pStyle w:val="ListParagraph"/>
        <w:numPr>
          <w:ilvl w:val="0"/>
          <w:numId w:val="1"/>
        </w:numPr>
        <w:spacing w:after="80"/>
      </w:pPr>
      <w:r>
        <w:t xml:space="preserve">Explain how the SEC uses the compliance rule, risk alerts, and examination priorities to set cybersecurity expectations.</w:t>
      </w:r>
    </w:p>
    <w:p>
      <w:pPr>
        <w:pStyle w:val="ListParagraph"/>
        <w:numPr>
          <w:ilvl w:val="0"/>
          <w:numId w:val="1"/>
        </w:numPr>
        <w:spacing w:after="80"/>
      </w:pPr>
      <w:r>
        <w:t xml:space="preserve">Analyze the reach of state privacy laws, the GDPR, and Cayman Islands law over a fund structure and its investors.</w:t>
      </w:r>
    </w:p>
    <w:p>
      <w:pPr>
        <w:pStyle w:val="ListParagraph"/>
        <w:numPr>
          <w:ilvl w:val="0"/>
          <w:numId w:val="1"/>
        </w:numPr>
        <w:spacing w:after="80"/>
      </w:pPr>
      <w:r>
        <w:t xml:space="preserve">Design vendor oversight, remote access, incident response, and notification procedures that reflect current threats, including deepfake-enabled wire fraud.</w:t>
      </w:r>
    </w:p>
    <w:p>
      <w:pPr>
        <w:pStyle w:val="Heading2"/>
        <w:spacing w:after="120" w:before="240"/>
      </w:pPr>
      <w:r>
        <w:rPr>
          <w:b/>
          <w:bCs/>
        </w:rPr>
        <w:t xml:space="preserve">The Threat Landscape and the Standard of Care</w:t>
      </w:r>
    </w:p>
    <w:p>
      <w:pPr>
        <w:pStyle w:val="ListParagraph"/>
        <w:numPr>
          <w:ilvl w:val="0"/>
          <w:numId w:val="1"/>
        </w:numPr>
        <w:spacing w:after="80"/>
      </w:pPr>
      <w:r>
        <w:rPr>
          <w:b/>
          <w:bCs/>
        </w:rPr>
        <w:t xml:space="preserve">Assets and data at risk.</w:t>
      </w:r>
      <w:r>
        <w:t xml:space="preserve">Fund assets are generally held by qualified custodians under the custody rule, Advisers Act Rule 206(4)-2, so attackers often target service providers, prime brokers, and payment instructions. Advisers also hold strategy and portfolio information and investor data from subscription documents.</w:t>
      </w:r>
    </w:p>
    <w:p>
      <w:pPr>
        <w:pStyle w:val="ListParagraph"/>
        <w:numPr>
          <w:ilvl w:val="0"/>
          <w:numId w:val="1"/>
        </w:numPr>
        <w:spacing w:after="80"/>
      </w:pPr>
      <w:r>
        <w:rPr>
          <w:b/>
          <w:bCs/>
        </w:rPr>
        <w:t xml:space="preserve">Ransomware.</w:t>
      </w:r>
      <w:r>
        <w:t xml:space="preserve">The May 2021 Colonial Pipeline attack drew wide regulatory attention. OFAC advisories (2020 and 2021) warn that facilitating ransom payments to sanctioned persons may violate sanctions law.</w:t>
      </w:r>
    </w:p>
    <w:p>
      <w:pPr>
        <w:pStyle w:val="ListParagraph"/>
        <w:numPr>
          <w:ilvl w:val="0"/>
          <w:numId w:val="1"/>
        </w:numPr>
        <w:spacing w:after="80"/>
      </w:pPr>
      <w:r>
        <w:rPr>
          <w:b/>
          <w:bCs/>
        </w:rPr>
        <w:t xml:space="preserve">Exculpation and indemnification.</w:t>
      </w:r>
      <w:r>
        <w:t xml:space="preserve">Fund documents commonly exculpate and indemnify the manager except for gross negligence, fraud, willful misconduct, or similar conduct. Failing to maintain current security software and procedures may support a claim of recklessness or gross negligence that defeats that protection.</w:t>
      </w:r>
    </w:p>
    <w:p>
      <w:pPr>
        <w:pStyle w:val="ListParagraph"/>
        <w:numPr>
          <w:ilvl w:val="0"/>
          <w:numId w:val="1"/>
        </w:numPr>
        <w:spacing w:after="80"/>
      </w:pPr>
      <w:r>
        <w:rPr>
          <w:b/>
          <w:bCs/>
        </w:rPr>
        <w:t xml:space="preserve">Fiduciary duty.</w:t>
      </w:r>
      <w:r>
        <w:t xml:space="preserve">An adviser's federal fiduciary duty cannot be waived, although its application may be shaped by agreement.</w:t>
      </w:r>
      <w:r>
        <w:rPr>
          <w:i/>
          <w:iCs/>
        </w:rPr>
        <w:t xml:space="preserve">Commission Interpretation Regarding Standard of Conduct for Investment Advisers</w:t>
      </w:r>
      <w:r>
        <w:t xml:space="preserve">, Advisers Act Release No. 5248 (June 5, 2019).</w:t>
      </w:r>
    </w:p>
    <w:p>
      <w:pPr>
        <w:pStyle w:val="Heading2"/>
        <w:spacing w:after="120" w:before="240"/>
      </w:pPr>
      <w:r>
        <w:rPr>
          <w:b/>
          <w:bCs/>
        </w:rPr>
        <w:t xml:space="preserve">Federal Privacy and Safeguards Rules</w:t>
      </w:r>
    </w:p>
    <w:p>
      <w:pPr>
        <w:pStyle w:val="ListParagraph"/>
        <w:numPr>
          <w:ilvl w:val="0"/>
          <w:numId w:val="1"/>
        </w:numPr>
        <w:spacing w:after="80"/>
      </w:pPr>
      <w:r>
        <w:rPr>
          <w:b/>
          <w:bCs/>
        </w:rPr>
        <w:t xml:space="preserve">Gramm-Leach-Bliley Act</w:t>
      </w:r>
      <w:r>
        <w:t xml:space="preserve">, Title V, 15 U.S.C. §§ 6801–6809. SEC-registered investment advisers are financial institutions subject to Title V, with the SEC as functional regulator.</w:t>
      </w:r>
    </w:p>
    <w:p>
      <w:pPr>
        <w:pStyle w:val="ListParagraph"/>
        <w:numPr>
          <w:ilvl w:val="0"/>
          <w:numId w:val="1"/>
        </w:numPr>
        <w:spacing w:after="80"/>
      </w:pPr>
      <w:r>
        <w:rPr>
          <w:b/>
          <w:bCs/>
        </w:rPr>
        <w:t xml:space="preserve">Regulation S-P</w:t>
      </w:r>
      <w:r>
        <w:t xml:space="preserve">, 17 C.F.R. Part 248, Subpart A. It protects information about individuals (consumers and customers), so an adviser whose funds have only institutional investors has limited obligations. Natural-person investors in a private fund are generally treated as the adviser's customers.</w:t>
      </w:r>
      <w:r>
        <w:t xml:space="preserve">li&gt;</w:t>
      </w:r>
      <w:r>
        <w:rPr>
          <w:i/>
          <w:iCs/>
        </w:rPr>
        <w:t xml:space="preserve">Privacy notices.</w:t>
      </w:r>
      <w:r>
        <w:t xml:space="preserve">An initial notice is due when the customer relationship is established, which fund managers commonly satisfy by annexing the notice to subscription documents. One notice may address federal, state, and foreign requirements.</w:t>
      </w:r>
    </w:p>
    <w:p>
      <w:pPr>
        <w:pStyle w:val="ListParagraph"/>
        <w:numPr>
          <w:ilvl w:val="0"/>
          <w:numId w:val="1"/>
        </w:numPr>
        <w:spacing w:after="80"/>
      </w:pPr>
      <w:r>
        <w:rPr>
          <w:i/>
          <w:iCs/>
        </w:rPr>
        <w:t xml:space="preserve">Annual notices.</w:t>
      </w:r>
      <w:r>
        <w:t xml:space="preserve">The FAST Act (2015) added 15 U.S.C. § 6803(f), which excuses annual notices when an institution shares information only under statutory exceptions and has not changed its policies. The 2024 amendments conformed Regulation S-P to that exception, so the federal annual delivery obligation is narrower than described in the program.</w:t>
      </w:r>
    </w:p>
    <w:p>
      <w:pPr>
        <w:pStyle w:val="ListParagraph"/>
        <w:numPr>
          <w:ilvl w:val="0"/>
          <w:numId w:val="1"/>
        </w:numPr>
        <w:spacing w:after="80"/>
      </w:pPr>
      <w:r>
        <w:rPr>
          <w:i/>
          <w:iCs/>
        </w:rPr>
        <w:t xml:space="preserve">Safeguards Rule</w:t>
      </w:r>
      <w:r>
        <w:t xml:space="preserve">, § 248.30(a), requires written administrative, technical, and physical safeguards.</w:t>
      </w:r>
    </w:p>
    <w:p>
      <w:pPr>
        <w:pStyle w:val="Heading2"/>
        <w:spacing w:after="120" w:before="240"/>
      </w:pPr>
      <w:r>
        <w:rPr>
          <w:b/>
          <w:bCs/>
        </w:rPr>
        <w:t xml:space="preserve">The Compliance Rule and SEC Examination Guidance</w:t>
      </w:r>
    </w:p>
    <w:p>
      <w:pPr>
        <w:pStyle w:val="ListParagraph"/>
        <w:numPr>
          <w:ilvl w:val="0"/>
          <w:numId w:val="1"/>
        </w:numPr>
        <w:spacing w:after="80"/>
      </w:pPr>
      <w:r>
        <w:rPr>
          <w:b/>
          <w:bCs/>
        </w:rPr>
        <w:t xml:space="preserve">Compliance rule.</w:t>
      </w:r>
      <w:r>
        <w:t xml:space="preserve">Advisers Act Rule 206(4)-7, 17 C.F.R. § 275.206(4)-7, requires written policies and procedures reasonably designed to prevent violations, a chief compliance officer, and a review, no less than annually, of their adequacy and effectiveness. The rule requires an annual review rather than an annual rewrite, but a review that ignores new threats may be found inadequate.</w:t>
      </w:r>
    </w:p>
    <w:p>
      <w:pPr>
        <w:pStyle w:val="ListParagraph"/>
        <w:numPr>
          <w:ilvl w:val="0"/>
          <w:numId w:val="1"/>
        </w:numPr>
        <w:spacing w:after="80"/>
      </w:pPr>
      <w:r>
        <w:rPr>
          <w:b/>
          <w:bCs/>
        </w:rPr>
        <w:t xml:space="preserve">Risk alerts.</w:t>
      </w:r>
      <w:r>
        <w:t xml:space="preserve">Staff risk alerts state that they are not rules or Commission views, but they signal what examiners expect. 2020 alerts addressed cybersecurity and resiliency (January), ransomware (July), credential compromise (September), and adviser compliance programs (November). A September 14, 2026 risk alert faulted advisers' annual compliance reviews for missed reviews, untested procedures, and poor documentation.</w:t>
      </w:r>
    </w:p>
    <w:p>
      <w:pPr>
        <w:pStyle w:val="ListParagraph"/>
        <w:numPr>
          <w:ilvl w:val="0"/>
          <w:numId w:val="1"/>
        </w:numPr>
        <w:spacing w:after="80"/>
      </w:pPr>
      <w:r>
        <w:rPr>
          <w:b/>
          <w:bCs/>
        </w:rPr>
        <w:t xml:space="preserve">Examination priorities.</w:t>
      </w:r>
      <w:r>
        <w:t xml:space="preserve">The Division of Examinations released its 2021 priorities on March 3, 2021 (not in January), listing safeguarding accounts and verifying identity, vendor oversight, malicious email, incident response including ransomware, and risks from a dispersed workforce. The 2026 priorities (November 17, 2025) cover access controls, data loss prevention, ransomware, AI-driven threats, Regulation S-ID red flags in account takeovers and fraudulent transfers, and the Regulation S-P amendments.</w:t>
      </w:r>
    </w:p>
    <w:p>
      <w:pPr>
        <w:pStyle w:val="Heading2"/>
        <w:spacing w:after="120" w:before="240"/>
      </w:pPr>
      <w:r>
        <w:rPr>
          <w:b/>
          <w:bCs/>
        </w:rPr>
        <w:t xml:space="preserve">State Privacy and Breach Notification Laws</w:t>
      </w:r>
    </w:p>
    <w:p>
      <w:pPr>
        <w:pStyle w:val="ListParagraph"/>
        <w:numPr>
          <w:ilvl w:val="0"/>
          <w:numId w:val="1"/>
        </w:numPr>
        <w:spacing w:after="80"/>
      </w:pPr>
      <w:r>
        <w:rPr>
          <w:b/>
          <w:bCs/>
        </w:rPr>
        <w:t xml:space="preserve">California.</w:t>
      </w:r>
      <w:r>
        <w:t xml:space="preserve">The California Consumer Privacy Act, as amended by the California Privacy Rights Act, exempts personal information collected under Gramm-Leach-Bliley, a data-level exemption, but not from the private right of action for data breaches (Cal. Civ. Code §§ 1798.145, 1798.150). Non-GLBA data, such as employee data, remains covered. September 2025 regulations require cybersecurity audits, with the first certifications due April 1, 2028 for the largest businesses.</w:t>
      </w:r>
    </w:p>
    <w:p>
      <w:pPr>
        <w:pStyle w:val="ListParagraph"/>
        <w:numPr>
          <w:ilvl w:val="0"/>
          <w:numId w:val="1"/>
        </w:numPr>
        <w:spacing w:after="80"/>
      </w:pPr>
      <w:r>
        <w:rPr>
          <w:b/>
          <w:bCs/>
        </w:rPr>
        <w:t xml:space="preserve">Virginia.</w:t>
      </w:r>
      <w:r>
        <w:t xml:space="preserve">The Consumer Data Protection Act exempts any "financial institution or data subject to Title V" of Gramm-Leach-Bliley. Va. Code § 59.1-576. That is an entity-level exemption, so a registered adviser is generally outside the statute entirely, not only for its GLBA data as described in the program.</w:t>
      </w:r>
    </w:p>
    <w:p>
      <w:pPr>
        <w:pStyle w:val="ListParagraph"/>
        <w:numPr>
          <w:ilvl w:val="0"/>
          <w:numId w:val="1"/>
        </w:numPr>
        <w:spacing w:after="80"/>
      </w:pPr>
      <w:r>
        <w:rPr>
          <w:b/>
          <w:bCs/>
        </w:rPr>
        <w:t xml:space="preserve">Trend toward data-level exemptions.</w:t>
      </w:r>
      <w:r>
        <w:t xml:space="preserve">About twenty states have comprehensive privacy laws. Connecticut (effective July 1, 2026) and Montana replaced broad GLBA entity-level exemptions with narrower, largely data-level exemptions, and Oregon and Minnesota limit their entity-level exemptions. Managers should review each statute rather than assume they are exempt.</w:t>
      </w:r>
    </w:p>
    <w:p>
      <w:pPr>
        <w:pStyle w:val="ListParagraph"/>
        <w:numPr>
          <w:ilvl w:val="0"/>
          <w:numId w:val="1"/>
        </w:numPr>
        <w:spacing w:after="80"/>
      </w:pPr>
      <w:r>
        <w:rPr>
          <w:b/>
          <w:bCs/>
        </w:rPr>
        <w:t xml:space="preserve">Breach notification.</w:t>
      </w:r>
      <w:r>
        <w:t xml:space="preserve">All fifty states, D.C., and the territories have breach notification laws with differing triggers, timing, and regulator notice. New York DFS's cybersecurity regulation, 23 NYCRR Part 500, applies to DFS-licensed entities and is fully phased in as of November 1, 2025.</w:t>
      </w:r>
    </w:p>
    <w:p>
      <w:pPr>
        <w:pStyle w:val="Heading2"/>
        <w:spacing w:after="120" w:before="240"/>
      </w:pPr>
      <w:r>
        <w:rPr>
          <w:b/>
          <w:bCs/>
        </w:rPr>
        <w:t xml:space="preserve">International and Offshore Regimes</w:t>
      </w:r>
    </w:p>
    <w:p>
      <w:pPr>
        <w:pStyle w:val="ListParagraph"/>
        <w:numPr>
          <w:ilvl w:val="0"/>
          <w:numId w:val="1"/>
        </w:numPr>
        <w:spacing w:after="80"/>
      </w:pPr>
      <w:r>
        <w:rPr>
          <w:b/>
          <w:bCs/>
        </w:rPr>
        <w:t xml:space="preserve">GDPR</w:t>
      </w:r>
      <w:r>
        <w:t xml:space="preserve">, Regulation (EU) 2016/679, applicable since May 25, 2018. Under Article 3(2), it reaches controllers outside the EU that offer goods or services to, or monitor the behavior of, individuals in the EU. It does not apply merely because a non-EU firm receives an EU resident's data, although managers that actively market to investors in the EU may be covered. Article 32 requires appropriate security, and Article 33 requires notice to the supervisory authority within 72 hours of a qualifying breach.</w:t>
      </w:r>
    </w:p>
    <w:p>
      <w:pPr>
        <w:pStyle w:val="ListParagraph"/>
        <w:numPr>
          <w:ilvl w:val="0"/>
          <w:numId w:val="1"/>
        </w:numPr>
        <w:spacing w:after="80"/>
      </w:pPr>
      <w:r>
        <w:rPr>
          <w:b/>
          <w:bCs/>
        </w:rPr>
        <w:t xml:space="preserve">Cayman Islands.</w:t>
      </w:r>
      <w:r>
        <w:t xml:space="preserve">The Data Protection Act (2021 Revision), in force since September 30, 2019, generally treats Cayman fund vehicles as data controllers. Controllers must notify the Ombudsman and affected individuals of a personal data breach without undue delay and within five days after they should reasonably have become aware of it. CIMA's cybersecurity rule does not apply to mutual funds or private funds.</w:t>
      </w:r>
    </w:p>
    <w:p>
      <w:pPr>
        <w:pStyle w:val="ListParagraph"/>
        <w:numPr>
          <w:ilvl w:val="0"/>
          <w:numId w:val="1"/>
        </w:numPr>
        <w:spacing w:after="80"/>
      </w:pPr>
      <w:r>
        <w:rPr>
          <w:b/>
          <w:bCs/>
        </w:rPr>
        <w:t xml:space="preserve">EU operational resilience.</w:t>
      </w:r>
      <w:r>
        <w:t xml:space="preserve">The Digital Operational Resilience Act, Regulation (EU) 2022/2554, has applied to EU financial entities, including alternative investment fund managers, since January 17, 2025.</w:t>
      </w:r>
    </w:p>
    <w:p>
      <w:pPr>
        <w:pStyle w:val="Heading2"/>
        <w:spacing w:after="120" w:before="240"/>
      </w:pPr>
      <w:r>
        <w:rPr>
          <w:b/>
          <w:bCs/>
        </w:rPr>
        <w:t xml:space="preserve">Vendors, Remote Work, and Incident Response</w:t>
      </w:r>
    </w:p>
    <w:p>
      <w:pPr>
        <w:pStyle w:val="ListParagraph"/>
        <w:numPr>
          <w:ilvl w:val="0"/>
          <w:numId w:val="1"/>
        </w:numPr>
        <w:spacing w:after="80"/>
      </w:pPr>
      <w:r>
        <w:rPr>
          <w:b/>
          <w:bCs/>
        </w:rPr>
        <w:t xml:space="preserve">Vendor oversight.</w:t>
      </w:r>
      <w:r>
        <w:t xml:space="preserve">Diligence administrators, auditors, and IT providers, and require by contract security controls, breach notice within 72 hours, audit rights, limits on subcontracting, data return or destruction, and indemnification.</w:t>
      </w:r>
    </w:p>
    <w:p>
      <w:pPr>
        <w:pStyle w:val="ListParagraph"/>
        <w:numPr>
          <w:ilvl w:val="0"/>
          <w:numId w:val="1"/>
        </w:numPr>
        <w:spacing w:after="80"/>
      </w:pPr>
      <w:r>
        <w:rPr>
          <w:b/>
          <w:bCs/>
        </w:rPr>
        <w:t xml:space="preserve">Remote access.</w:t>
      </w:r>
      <w:r>
        <w:t xml:space="preserve">Require multifactor authentication, secure devices and connections, and policies for staff working outside the office.</w:t>
      </w:r>
    </w:p>
    <w:p>
      <w:pPr>
        <w:pStyle w:val="ListParagraph"/>
        <w:numPr>
          <w:ilvl w:val="0"/>
          <w:numId w:val="1"/>
        </w:numPr>
        <w:spacing w:after="80"/>
      </w:pPr>
      <w:r>
        <w:rPr>
          <w:b/>
          <w:bCs/>
        </w:rPr>
        <w:t xml:space="preserve">Incident response.</w:t>
      </w:r>
      <w:r>
        <w:t xml:space="preserve">Maintain and test a written plan and ransomware playbook covering escalation, forensic and legal support, notification, and whether to pay.</w:t>
      </w:r>
    </w:p>
    <w:p>
      <w:pPr>
        <w:pStyle w:val="ListParagraph"/>
        <w:numPr>
          <w:ilvl w:val="0"/>
          <w:numId w:val="1"/>
        </w:numPr>
        <w:spacing w:after="80"/>
      </w:pPr>
      <w:r>
        <w:rPr>
          <w:b/>
          <w:bCs/>
        </w:rPr>
        <w:t xml:space="preserve">Payment verification.</w:t>
      </w:r>
      <w:r>
        <w:t xml:space="preserve">Confirm changes to wire instructions and unusual payment requests through independent, known channels. Deepfake audio and video now defeat voice and video recognition as a control.</w:t>
      </w:r>
    </w:p>
    <w:p>
      <w:pPr>
        <w:pStyle w:val="Heading2"/>
        <w:spacing w:after="120" w:before="240"/>
      </w:pPr>
      <w:r>
        <w:rPr>
          <w:b/>
          <w:bCs/>
        </w:rPr>
        <w:t xml:space="preserve">Developments to Know</w:t>
      </w:r>
    </w:p>
    <w:p>
      <w:pPr>
        <w:pStyle w:val="ListParagraph"/>
        <w:numPr>
          <w:ilvl w:val="0"/>
          <w:numId w:val="1"/>
        </w:numPr>
        <w:spacing w:after="80"/>
      </w:pPr>
      <w:r>
        <w:rPr>
          <w:b/>
          <w:bCs/>
        </w:rPr>
        <w:t xml:space="preserve">Adviser cyber enforcement.</w:t>
      </w:r>
      <w:r>
        <w:t xml:space="preserve">The SEC sanctioned eight Cetera, Cambridge, and KMS entities for Safeguards Rule failures after email account takeovers (August 30, 2021), and Morgan Stanley Smith Barney paid $35 million over improper disposal of devices holding customer data (September 2022). On November 25, 2025, M Holdings Securities, a broker-dealer and adviser, paid $325,000 for Regulation S-P and S-ID failures involving account takeovers, missing multifactor authentication, and an outdated identity theft program.</w:t>
      </w:r>
    </w:p>
    <w:p>
      <w:pPr>
        <w:pStyle w:val="ListParagraph"/>
        <w:numPr>
          <w:ilvl w:val="0"/>
          <w:numId w:val="1"/>
        </w:numPr>
        <w:spacing w:after="80"/>
      </w:pPr>
      <w:r>
        <w:rPr>
          <w:b/>
          <w:bCs/>
        </w:rPr>
        <w:t xml:space="preserve">Withdrawn proposals.</w:t>
      </w:r>
      <w:r>
        <w:t xml:space="preserve">On June 12, 2025, the SEC withdrew its 2022 proposed cybersecurity risk management rules for advisers and funds (proposed Rule 206(4)-9).</w:t>
      </w:r>
    </w:p>
    <w:p>
      <w:pPr>
        <w:pStyle w:val="ListParagraph"/>
        <w:numPr>
          <w:ilvl w:val="0"/>
          <w:numId w:val="1"/>
        </w:numPr>
        <w:spacing w:after="80"/>
      </w:pPr>
      <w:r>
        <w:rPr>
          <w:b/>
          <w:bCs/>
        </w:rPr>
        <w:t xml:space="preserve">Form PF.</w:t>
      </w:r>
      <w:r>
        <w:t xml:space="preserve">Amendments adopted May 3, 2023 require large hedge fund advisers to file current reports as soon as practicable, and within 72 hours, after events including significant disruption or degradation of key operations, and require private equity advisers to file quarterly event reports (compliance from December 2023). On April 20, 2026, the SEC and CFTC proposed raising filing thresholds, narrowing current reporting events, and eliminating private equity event reports. On August 31, 2026, they extended the compliance date for the separate February 2024 amendments to July 1, 2027.</w:t>
      </w:r>
    </w:p>
    <w:p>
      <w:pPr>
        <w:pStyle w:val="ListParagraph"/>
        <w:numPr>
          <w:ilvl w:val="0"/>
          <w:numId w:val="1"/>
        </w:numPr>
        <w:spacing w:after="80"/>
      </w:pPr>
      <w:r>
        <w:rPr>
          <w:b/>
          <w:bCs/>
        </w:rPr>
        <w:t xml:space="preserve">Enforcement priorities.</w:t>
      </w:r>
      <w:r>
        <w:t xml:space="preserve">In February 2025 the SEC replaced its Crypto Assets and Cyber Unit with a Cyber and Emerging Technologies Unit. In</w:t>
      </w:r>
      <w:r>
        <w:rPr>
          <w:i/>
          <w:iCs/>
        </w:rPr>
        <w:t xml:space="preserve">SEC v. SolarWinds Corp.</w:t>
      </w:r>
      <w:r>
        <w:t xml:space="preserve">, 741 F. Supp. 3d 37 (S.D.N.Y. 2024), the court dismissed most claims, and the SEC dropped the remaining claims in November 2025. Supporters see a return to fraud-focused enforcement, and critics worry about weaker deterrence.</w:t>
      </w:r>
    </w:p>
    <w:p>
      <w:pPr>
        <w:pStyle w:val="ListParagraph"/>
        <w:numPr>
          <w:ilvl w:val="0"/>
          <w:numId w:val="1"/>
        </w:numPr>
        <w:spacing w:after="80"/>
      </w:pPr>
      <w:r>
        <w:rPr>
          <w:b/>
          <w:bCs/>
        </w:rPr>
        <w:t xml:space="preserve">AI and deepfake fraud.</w:t>
      </w:r>
      <w:r>
        <w:t xml:space="preserve">In March 2024 the SEC settled "AI washing" charges against advisers Delphia and Global Predictions. In 2024, an Arup employee in Hong Kong transferred about $25 million after a video call with deepfaked executives. FinCEN issued an alert on deepfake fraud against financial institutions (FIN-2024-Alert004, November 13, 2024). The FBI's 2025 Internet Crime Report recorded about $3 billion in business email compromise losses and more than $893 million in losses from AI-related complaints.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2026-09-28T18:13:14.897Z</dcterms:created>
  <dcterms:modified xsi:type="dcterms:W3CDTF">2026-09-28T18:13:14.897Z</dcterms:modified>
</cp:coreProperties>
</file>

<file path=docProps/custom.xml><?xml version="1.0" encoding="utf-8"?>
<Properties xmlns="http://schemas.openxmlformats.org/officeDocument/2006/custom-properties" xmlns:vt="http://schemas.openxmlformats.org/officeDocument/2006/docPropsVTypes"/>
</file>