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80"/>
      </w:pPr>
      <w:r>
        <w:rPr>
          <w:rFonts w:ascii="Montserrat" w:cs="Montserrat" w:eastAsia="Montserrat" w:hAnsi="Montserrat"/>
          <w:b/>
          <w:bCs/>
          <w:sz w:val="36"/>
          <w:szCs w:val="36"/>
        </w:rPr>
        <w:t>Digital Asset Planning: Fiduciary Access, Platform Tools, and the Estate Plan</w:t>
      </w:r>
    </w:p>
    <w:p>
      <w:pPr>
        <w:spacing w:after="200"/>
      </w:pPr>
      <w:r>
        <w:rPr>
          <w:rFonts w:ascii="Montserrat" w:cs="Montserrat" w:eastAsia="Montserrat" w:hAnsi="Montserrat"/>
          <w:b/>
          <w:bCs/>
          <w:color w:val="E87722"/>
          <w:sz w:val="24"/>
          <w:szCs w:val="24"/>
        </w:rPr>
        <w:t>Naomi R. Cahn, Justice Anthony M. Kennedy Distinguished Professor of Law and Co-Director, Family Law Center, University of Virginia School of Law</w:t>
      </w:r>
    </w:p>
    <w:p>
      <w:pPr>
        <w:pStyle w:val="Heading2"/>
        <w:spacing w:after="120" w:before="240"/>
      </w:pPr>
      <w:r>
        <w:rPr>
          <w:b/>
          <w:bCs/>
        </w:rPr>
        <w:t>Overview</w:t>
      </w:r>
    </w:p>
    <w:p>
      <w:pPr>
        <w:spacing w:after="160"/>
      </w:pPr>
      <w:r>
        <w:t>This program examines how estate planners and fiduciaries should address digital assets, including online accounts, email and social media, cloud-stored files, domain names, loyalty programs, and cryptocurrency. Professor Naomi Cahn, who served on the drafting committee for the Revised Uniform Fiduciary Access to Digital Assets Act (RUFADAA), explains the obstacles to fiduciary access created by platform terms of service and the federal Stored Communications Act, the priority scheme RUFADAA establishes among online tools, estate documents, terms of service, and statutory defaults, the distinction between the content of electronic communications and a catalogue of them, and practical drafting and client-counseling steps. The program updates the discussion with developments since 2021, including RUFADAA's expansion in California, Apple's Digital Legacy program, Google's inactive-account deletion policy, recent court decisions on fiduciary access, adoption of UCC Article 12 for digital assets, IRS broker reporting, and new state laws governing post-mortem digital replicas of a person's likeness and voice.</w:t>
      </w:r>
    </w:p>
    <w:p>
      <w:pPr>
        <w:pStyle w:val="Heading2"/>
        <w:spacing w:after="120" w:before="240"/>
      </w:pPr>
      <w:r>
        <w:rPr>
          <w:b/>
          <w:bCs/>
        </w:rPr>
        <w:t>Learning Objectives</w:t>
      </w:r>
    </w:p>
    <w:p>
      <w:pPr>
        <w:pStyle w:val="ListParagraph"/>
        <w:numPr>
          <w:ilvl w:val="0"/>
          <w:numId w:val="1"/>
        </w:numPr>
        <w:spacing w:after="80"/>
      </w:pPr>
      <w:r>
        <w:t>Define digital assets for estate planning purposes and identify the emotional, financial, and security interests at stake upon death or incapacity.</w:t>
      </w:r>
    </w:p>
    <w:p>
      <w:pPr>
        <w:pStyle w:val="ListParagraph"/>
        <w:numPr>
          <w:ilvl w:val="0"/>
          <w:numId w:val="1"/>
        </w:numPr>
        <w:spacing w:after="80"/>
      </w:pPr>
      <w:r>
        <w:t>Explain how platform terms of service and the Stored Communications Act, 18 U.S.C. §§ 2701–2713, limit fiduciary access to online accounts and their contents.</w:t>
      </w:r>
    </w:p>
    <w:p>
      <w:pPr>
        <w:pStyle w:val="ListParagraph"/>
        <w:numPr>
          <w:ilvl w:val="0"/>
          <w:numId w:val="1"/>
        </w:numPr>
        <w:spacing w:after="80"/>
      </w:pPr>
      <w:r>
        <w:t>Apply RUFADAA's priority rules and default provisions to determine what an executor, trustee, guardian, or agent may access, and distinguish content of communications from a catalogue.</w:t>
      </w:r>
    </w:p>
    <w:p>
      <w:pPr>
        <w:pStyle w:val="ListParagraph"/>
        <w:numPr>
          <w:ilvl w:val="0"/>
          <w:numId w:val="1"/>
        </w:numPr>
        <w:spacing w:after="80"/>
      </w:pPr>
      <w:r>
        <w:t>Advise clients on the use of platform legacy tools, password management, and the designation of a digital fiduciary, and draft will, trust, and power of attorney provisions addressing digital assets.</w:t>
      </w:r>
    </w:p>
    <w:p>
      <w:pPr>
        <w:pStyle w:val="ListParagraph"/>
        <w:numPr>
          <w:ilvl w:val="0"/>
          <w:numId w:val="1"/>
        </w:numPr>
        <w:spacing w:after="80"/>
      </w:pPr>
      <w:r>
        <w:t>Identify recent developments affecting digital-asset planning, including UCC Article 12, IRS reporting of digital-asset transactions, and post-mortem right-of-publicity statutes addressing AI replicas.</w:t>
      </w:r>
    </w:p>
    <w:p>
      <w:pPr>
        <w:pStyle w:val="Heading2"/>
        <w:spacing w:after="120" w:before="240"/>
      </w:pPr>
      <w:r>
        <w:rPr>
          <w:b/>
          <w:bCs/>
        </w:rPr>
        <w:t>Digital Assets and the Interests at Stake</w:t>
      </w:r>
    </w:p>
    <w:p>
      <w:pPr>
        <w:pStyle w:val="ListParagraph"/>
        <w:numPr>
          <w:ilvl w:val="0"/>
          <w:numId w:val="1"/>
        </w:numPr>
        <w:spacing w:after="80"/>
      </w:pPr>
      <w:r>
        <w:t>Digital assets include accounts, the credentials to access them, and the content they hold: social media, email, online banking and commerce accounts, domain names, cloud-stored photographs and documents, subscription and loyalty programs, in-game items, and cryptocurrency.</w:t>
      </w:r>
    </w:p>
    <w:p>
      <w:pPr>
        <w:pStyle w:val="ListParagraph"/>
        <w:numPr>
          <w:ilvl w:val="0"/>
          <w:numId w:val="1"/>
        </w:numPr>
        <w:spacing w:after="80"/>
      </w:pPr>
      <w:r>
        <w:t>Interests include access to family records and photographs, control of memorialization, continuity of business and financial operations during incapacity, prevention of fraud on dormant accounts, and recovery of financial value. Loyalty programs and cryptocurrency are generally transferable at death; licensed media (such as purchased music and e-books) often are not.</w:t>
      </w:r>
    </w:p>
    <w:p>
      <w:pPr>
        <w:pStyle w:val="ListParagraph"/>
        <w:numPr>
          <w:ilvl w:val="0"/>
          <w:numId w:val="1"/>
        </w:numPr>
        <w:spacing w:after="80"/>
      </w:pPr>
      <w:r>
        <w:t>Cryptocurrency held in self-custody is irretrievable without the private key; no court order can compel recovery. The case of Stefan Thomas, locked out of a wallet holding bitcoin then worth over $200 million, illustrates the risk.</w:t>
      </w:r>
    </w:p>
    <w:p>
      <w:pPr>
        <w:pStyle w:val="Heading2"/>
        <w:spacing w:after="120" w:before="240"/>
      </w:pPr>
      <w:r>
        <w:rPr>
          <w:b/>
          <w:bCs/>
        </w:rPr>
        <w:t>Terms of Service and the Stored Communications Act</w:t>
      </w:r>
    </w:p>
    <w:p>
      <w:pPr>
        <w:pStyle w:val="ListParagraph"/>
        <w:numPr>
          <w:ilvl w:val="0"/>
          <w:numId w:val="1"/>
        </w:numPr>
        <w:spacing w:after="80"/>
      </w:pPr>
      <w:r>
        <w:t>Platform terms of service typically prohibit password sharing and provide that accounts are nontransferable. Sharing credentials may breach the agreement and has been argued to implicate the Computer Fraud and Abuse Act.</w:t>
      </w:r>
    </w:p>
    <w:p>
      <w:pPr>
        <w:pStyle w:val="ListParagraph"/>
        <w:numPr>
          <w:ilvl w:val="0"/>
          <w:numId w:val="1"/>
        </w:numPr>
        <w:spacing w:after="80"/>
      </w:pPr>
      <w:r>
        <w:t>The Stored Communications Act prohibits providers from disclosing the contents of electronic communications except with the lawful consent of the originator, addressee, or intended recipient, or under other enumerated exceptions. In Ajemian v. Yahoo!, Inc., 478 Mass. 169 (2017), the Supreme Judicial Court held that a personal representative may provide lawful consent on behalf of a deceased user, so the Act does not bar disclosure, although it does not compel it.</w:t>
      </w:r>
    </w:p>
    <w:p>
      <w:pPr>
        <w:pStyle w:val="ListParagraph"/>
        <w:numPr>
          <w:ilvl w:val="0"/>
          <w:numId w:val="1"/>
        </w:numPr>
        <w:spacing w:after="80"/>
      </w:pPr>
      <w:r>
        <w:t>New York Surrogate's Courts have ordered Apple to disclose a decedent's photographs and a catalogue of communications while declining to order disclosure of content absent consent. See Matter of Scandalios (Sur. Ct. N.Y. County 2019); Matter of Coleman (Sur. Ct. Westchester County 2019); Estate of Moran (Sur. Ct. 2023).</w:t>
      </w:r>
    </w:p>
    <w:p>
      <w:pPr>
        <w:pStyle w:val="Heading2"/>
        <w:spacing w:after="120" w:before="240"/>
      </w:pPr>
      <w:r>
        <w:rPr>
          <w:b/>
          <w:bCs/>
        </w:rPr>
        <w:t>RUFADAA</w:t>
      </w:r>
    </w:p>
    <w:p>
      <w:pPr>
        <w:pStyle w:val="ListParagraph"/>
        <w:numPr>
          <w:ilvl w:val="0"/>
          <w:numId w:val="1"/>
        </w:numPr>
        <w:spacing w:after="80"/>
      </w:pPr>
      <w:r>
        <w:t>The Revised Uniform Fiduciary Access to Digital Assets Act (2015) has been enacted in approximately 45 states and the District of Columbia. It applies to personal representatives, conservators and guardians, trustees, and agents acting under a power of attorney.</w:t>
      </w:r>
    </w:p>
    <w:p>
      <w:pPr>
        <w:pStyle w:val="ListParagraph"/>
        <w:numPr>
          <w:ilvl w:val="0"/>
          <w:numId w:val="1"/>
        </w:numPr>
        <w:spacing w:after="80"/>
      </w:pPr>
      <w:r>
        <w:t>Priority of instructions: (1) a user's direction in an online tool provided by the custodian (such as Google Inactive Account Manager, Facebook Legacy Contact, or Apple Digital Legacy) controls; (2) otherwise, directions in a will, trust, power of attorney, or other record; (3) otherwise, the custodian's terms of service; (4) otherwise, the Act's default rules.</w:t>
      </w:r>
    </w:p>
    <w:p>
      <w:pPr>
        <w:pStyle w:val="ListParagraph"/>
        <w:numPr>
          <w:ilvl w:val="0"/>
          <w:numId w:val="1"/>
        </w:numPr>
        <w:spacing w:after="80"/>
      </w:pPr>
      <w:r>
        <w:t>Defaults: a fiduciary may access digital assets other than the content of electronic communications, including a catalogue of communications (sender, recipient, date, and time). Access to content requires the user's consent in an online tool or record, or a court order. Custodians may require a court order, certified death certificate, letters, and other documentation, and may charge reasonable administrative fees.</w:t>
      </w:r>
    </w:p>
    <w:p>
      <w:pPr>
        <w:pStyle w:val="ListParagraph"/>
        <w:numPr>
          <w:ilvl w:val="0"/>
          <w:numId w:val="1"/>
        </w:numPr>
        <w:spacing w:after="80"/>
      </w:pPr>
      <w:r>
        <w:t>RUFADAA addresses fiduciary access; it does not determine ownership or distribution, which remain governed by the will, trust, intestacy law, and the asset's terms.</w:t>
      </w:r>
    </w:p>
    <w:p>
      <w:pPr>
        <w:pStyle w:val="ListParagraph"/>
        <w:numPr>
          <w:ilvl w:val="0"/>
          <w:numId w:val="1"/>
        </w:numPr>
        <w:spacing w:after="80"/>
      </w:pPr>
      <w:r>
        <w:t>California: the 2016 enactment applied only to deceased users; SB 1458 (effective January 1, 2025) extended access rights to agents under a power of attorney, conservators, and guardians (Prob. Code §§ 871 et seq.). Massachusetts has not enacted the Act.</w:t>
      </w:r>
    </w:p>
    <w:p>
      <w:pPr>
        <w:pStyle w:val="Heading2"/>
        <w:spacing w:after="120" w:before="240"/>
      </w:pPr>
      <w:r>
        <w:rPr>
          <w:b/>
          <w:bCs/>
        </w:rPr>
        <w:t>Platform Tools</w:t>
      </w:r>
    </w:p>
    <w:p>
      <w:pPr>
        <w:pStyle w:val="ListParagraph"/>
        <w:numPr>
          <w:ilvl w:val="0"/>
          <w:numId w:val="1"/>
        </w:numPr>
        <w:spacing w:after="80"/>
      </w:pPr>
      <w:r>
        <w:t>Google Inactive Account Manager allows a user to designate contacts to receive data, or to have the account deleted, after a chosen period of inactivity. Since December 2023 Google may delete personal accounts that have been inactive for two years.</w:t>
      </w:r>
    </w:p>
    <w:p>
      <w:pPr>
        <w:pStyle w:val="ListParagraph"/>
        <w:numPr>
          <w:ilvl w:val="0"/>
          <w:numId w:val="1"/>
        </w:numPr>
        <w:spacing w:after="80"/>
      </w:pPr>
      <w:r>
        <w:t>Facebook/Meta allows a user to designate a legacy contact to manage a memorialized account or to direct that the account be deleted upon death.</w:t>
      </w:r>
    </w:p>
    <w:p>
      <w:pPr>
        <w:pStyle w:val="ListParagraph"/>
        <w:numPr>
          <w:ilvl w:val="0"/>
          <w:numId w:val="1"/>
        </w:numPr>
        <w:spacing w:after="80"/>
      </w:pPr>
      <w:r>
        <w:t>Apple Digital Legacy (introduced December 2021) allows a user to name up to five legacy contacts who may obtain the account's data with an access key and a death certificate.</w:t>
      </w:r>
    </w:p>
    <w:p>
      <w:pPr>
        <w:pStyle w:val="Heading2"/>
        <w:spacing w:after="120" w:before="240"/>
      </w:pPr>
      <w:r>
        <w:rPr>
          <w:b/>
          <w:bCs/>
        </w:rPr>
        <w:t>Practical Planning</w:t>
      </w:r>
    </w:p>
    <w:p>
      <w:pPr>
        <w:pStyle w:val="ListParagraph"/>
        <w:numPr>
          <w:ilvl w:val="0"/>
          <w:numId w:val="1"/>
        </w:numPr>
        <w:spacing w:after="80"/>
      </w:pPr>
      <w:r>
        <w:t>Inventory digital assets and credentials; decide for each account whether it should be preserved, transferred, memorialized, or deleted; and record the decisions in a secure location known to the fiduciary.</w:t>
      </w:r>
    </w:p>
    <w:p>
      <w:pPr>
        <w:pStyle w:val="ListParagraph"/>
        <w:numPr>
          <w:ilvl w:val="0"/>
          <w:numId w:val="1"/>
        </w:numPr>
        <w:spacing w:after="80"/>
      </w:pPr>
      <w:r>
        <w:t>Consider appointing a separate digital fiduciary with technical competence and granting express authority in the will, trust, and power of attorney to access digital assets, including the content of electronic communications.</w:t>
      </w:r>
    </w:p>
    <w:p>
      <w:pPr>
        <w:pStyle w:val="ListParagraph"/>
        <w:numPr>
          <w:ilvl w:val="0"/>
          <w:numId w:val="1"/>
        </w:numPr>
        <w:spacing w:after="80"/>
      </w:pPr>
      <w:r>
        <w:t>Do not list passwords in a will, which becomes a public record and requires formalities to amend. Use a password manager and provide the master credential through a secure mechanism.</w:t>
      </w:r>
    </w:p>
    <w:p>
      <w:pPr>
        <w:pStyle w:val="ListParagraph"/>
        <w:numPr>
          <w:ilvl w:val="0"/>
          <w:numId w:val="1"/>
        </w:numPr>
        <w:spacing w:after="80"/>
      </w:pPr>
      <w:r>
        <w:t>For cryptocurrency, document wallets, exchanges, and key-recovery procedures; consider custodial arrangements or multi-signature structures that permit fiduciary access.</w:t>
      </w:r>
    </w:p>
    <w:p>
      <w:pPr>
        <w:pStyle w:val="Heading2"/>
        <w:spacing w:after="120" w:before="240"/>
      </w:pPr>
      <w:r>
        <w:rPr>
          <w:b/>
          <w:bCs/>
        </w:rPr>
        <w:t>Developments to Know</w:t>
      </w:r>
    </w:p>
    <w:p>
      <w:pPr>
        <w:pStyle w:val="ListParagraph"/>
        <w:numPr>
          <w:ilvl w:val="0"/>
          <w:numId w:val="1"/>
        </w:numPr>
        <w:spacing w:after="80"/>
      </w:pPr>
      <w:r>
        <w:t>UCC Article 12 (2022 amendments) creates rules for "controllable electronic records," including cryptocurrency, and had been enacted in 33 jurisdictions, including New York, as of December 2025.</w:t>
      </w:r>
    </w:p>
    <w:p>
      <w:pPr>
        <w:pStyle w:val="ListParagraph"/>
        <w:numPr>
          <w:ilvl w:val="0"/>
          <w:numId w:val="1"/>
        </w:numPr>
        <w:spacing w:after="80"/>
      </w:pPr>
      <w:r>
        <w:t>IRS Form 1099-DA: brokers began reporting gross proceeds from digital-asset transactions for 2025, with forms issued in early 2026, improving the information available to fiduciaries administering estates that hold cryptocurrency.</w:t>
      </w:r>
    </w:p>
    <w:p>
      <w:pPr>
        <w:pStyle w:val="ListParagraph"/>
        <w:numPr>
          <w:ilvl w:val="0"/>
          <w:numId w:val="1"/>
        </w:numPr>
        <w:spacing w:after="80"/>
      </w:pPr>
      <w:r>
        <w:t>Post-mortem rights in likeness and voice: New York Civil Rights Law § 50-f (effective 2021) created a 40-year post-mortem right of publicity and restricts digital replicas of deceased performers, expanded by legislation signed in December 2025; Tennessee's ELVIS Act (effective July 1, 2024) protects voice and addresses AI tools; California AB 1836 (effective January 1, 2025) prohibits digital replicas of deceased personalities without the estate's consent. Estate plans should address who may authorize use of a client's likeness and voice.</w:t>
      </w:r>
    </w:p>
    <w:p>
      <w:pPr>
        <w:pStyle w:val="ListParagraph"/>
        <w:numPr>
          <w:ilvl w:val="0"/>
          <w:numId w:val="1"/>
        </w:numPr>
        <w:spacing w:after="80"/>
      </w:pPr>
      <w:r>
        <w:t>Foreign courts have begun treating cloud data as estate property and limiting custodians' ability to demand redundant court orders, including a 2026 Alberta decision holding that a grant of administration is itself sufficient authority.</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Open Sans" w:cs="Open Sans" w:eastAsia="Open Sans" w:hAnsi="Open Sans"/>
        <w:color w:val="999999"/>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Montserrat" w:cs="Montserrat" w:eastAsia="Montserrat" w:hAnsi="Montserrat"/>
        <w:color w:val="999999"/>
        <w:sz w:val="16"/>
        <w:szCs w:val="16"/>
      </w:rPr>
      <w:t xml:space="preserve">TalksOnLaw — Written Materials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Open Sans" w:cs="Open Sans" w:eastAsia="Open Sans" w:hAnsi="Open Sans"/>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240"/>
    </w:pPr>
    <w:rPr>
      <w:rFonts w:ascii="Montserrat" w:cs="Montserrat" w:eastAsia="Montserrat" w:hAnsi="Montserrat"/>
      <w:b/>
      <w:bCs/>
      <w:sz w:val="36"/>
      <w:szCs w:val="36"/>
    </w:rPr>
  </w:style>
  <w:style w:type="paragraph" w:styleId="Heading2">
    <w:name w:val="Heading 2"/>
    <w:basedOn w:val="Normal"/>
    <w:next w:val="Normal"/>
    <w:qFormat/>
    <w:pPr>
      <w:spacing w:after="120" w:before="200"/>
    </w:pPr>
    <w:rPr>
      <w:rFonts w:ascii="Montserrat" w:cs="Montserrat" w:eastAsia="Montserrat" w:hAnsi="Montserrat"/>
      <w:b/>
      <w:bCs/>
      <w:sz w:val="30"/>
      <w:szCs w:val="30"/>
    </w:rPr>
  </w:style>
  <w:style w:type="paragraph" w:styleId="Heading3">
    <w:name w:val="Heading 3"/>
    <w:basedOn w:val="Normal"/>
    <w:next w:val="Normal"/>
    <w:qFormat/>
    <w:pPr>
      <w:spacing w:after="100" w:before="160"/>
    </w:pPr>
    <w:rPr>
      <w:rFonts w:ascii="Montserrat" w:cs="Montserrat" w:eastAsia="Montserrat" w:hAnsi="Montserrat"/>
      <w:b/>
      <w:bCs/>
      <w:sz w:val="26"/>
      <w:szCs w:val="2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2026-09-28T18:13:13.289Z</dcterms:created>
  <dcterms:modified xsi:type="dcterms:W3CDTF">2026-09-28T18:13:13.289Z</dcterms:modified>
</cp:coreProperties>
</file>

<file path=docProps/custom.xml><?xml version="1.0" encoding="utf-8"?>
<Properties xmlns="http://schemas.openxmlformats.org/officeDocument/2006/custom-properties" xmlns:vt="http://schemas.openxmlformats.org/officeDocument/2006/docPropsVTypes"/>
</file>