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Mine — Examining the Law of Ownership</w:t>
      </w:r>
    </w:p>
    <w:p>
      <w:pPr>
        <w:spacing w:after="200"/>
      </w:pPr>
      <w:r>
        <w:rPr>
          <w:rFonts w:ascii="Montserrat" w:cs="Montserrat" w:eastAsia="Montserrat" w:hAnsi="Montserrat"/>
          <w:b/>
          <w:bCs/>
          <w:color w:val="E87722"/>
          <w:sz w:val="24"/>
          <w:szCs w:val="24"/>
        </w:rPr>
        <w:t>Michael Heller</w:t>
      </w:r>
    </w:p>
    <w:p>
      <w:pPr>
        <w:pStyle w:val="Heading2"/>
        <w:spacing w:after="120" w:before="240"/>
      </w:pPr>
      <w:r>
        <w:rPr>
          <w:b/>
          <w:bCs/>
        </w:rPr>
        <w:t>Overview</w:t>
      </w:r>
    </w:p>
    <w:p>
      <w:pPr>
        <w:spacing w:after="160"/>
      </w:pPr>
      <w:r>
        <w:t>This program examines the hidden rules that determine who owns what and why. Professor Michael Heller, co-author with James Salzman of Mine! How the Hidden Rules of Ownership Control Our Lives (2021), explains six recurring justifications for ownership claims: first in time, possession, labor, attachment, self-ownership, and family. He applies them to leading and recent disputes, including Pierson v. Post and the rule of capture, the Barry Bonds home run ball litigation (Popov v. Hayashi), adverse possession and prescriptive easements, landowners' rights in airspace and drones, solar access, beach renourishment, inheritance and heirs' property partition sales, gestational surrogacy, and the extension of copyright terms. The discussion contrasts ex post fairness reasoning with ex ante rule design, introduces deliberate ownership ambiguity and "ownership gridlock," and considers how attachment can concentrate wealth or protect the environment. Updates cover Steamboat Willie's entry into the public domain, new surrogacy statutes, adoption of the Uniform Partition of Heirs Property Act, and related developments in digital-goods disclosure and right-to-repair law.</w:t>
      </w:r>
    </w:p>
    <w:p>
      <w:pPr>
        <w:pStyle w:val="Heading2"/>
        <w:spacing w:after="120" w:before="240"/>
      </w:pPr>
      <w:r>
        <w:rPr>
          <w:b/>
          <w:bCs/>
        </w:rPr>
        <w:t>Learning Objectives</w:t>
      </w:r>
    </w:p>
    <w:p>
      <w:pPr>
        <w:pStyle w:val="ListParagraph"/>
        <w:numPr>
          <w:ilvl w:val="0"/>
          <w:numId w:val="1"/>
        </w:numPr>
        <w:spacing w:after="80"/>
      </w:pPr>
      <w:r>
        <w:t>Identify the six principal justifications for ownership claims (first in time, possession, labor, attachment, self-ownership, and family) and recognize how they compete in real disputes.</w:t>
      </w:r>
    </w:p>
    <w:p>
      <w:pPr>
        <w:pStyle w:val="ListParagraph"/>
        <w:numPr>
          <w:ilvl w:val="0"/>
          <w:numId w:val="1"/>
        </w:numPr>
        <w:spacing w:after="80"/>
      </w:pPr>
      <w:r>
        <w:t>Explain the rule of capture from Pierson v. Post and distinguish ex post (fairness between the parties) from ex ante (incentive-based) reasoning, using Popov v. Hayashi as an example.</w:t>
      </w:r>
    </w:p>
    <w:p>
      <w:pPr>
        <w:pStyle w:val="ListParagraph"/>
        <w:numPr>
          <w:ilvl w:val="0"/>
          <w:numId w:val="1"/>
        </w:numPr>
        <w:spacing w:after="80"/>
      </w:pPr>
      <w:r>
        <w:t>Describe the elements of adverse possession and prescriptive easements and how legislatures have responded to controversial outcomes, including Colorado's 2008 amendments.</w:t>
      </w:r>
    </w:p>
    <w:p>
      <w:pPr>
        <w:pStyle w:val="ListParagraph"/>
        <w:numPr>
          <w:ilvl w:val="0"/>
          <w:numId w:val="1"/>
        </w:numPr>
        <w:spacing w:after="80"/>
      </w:pPr>
      <w:r>
        <w:t>Analyze how the attachment principle governs airspace, drones, solar access, and littoral property, with reference to United States v. Causby, the California Solar Shade Control Act, and Stop the Beach Renourishment v. Florida Department of Environmental Protection.</w:t>
      </w:r>
    </w:p>
    <w:p>
      <w:pPr>
        <w:pStyle w:val="ListParagraph"/>
        <w:numPr>
          <w:ilvl w:val="0"/>
          <w:numId w:val="1"/>
        </w:numPr>
        <w:spacing w:after="80"/>
      </w:pPr>
      <w:r>
        <w:t>Explain how intestacy and partition law contributed to the loss of heirs' property, and how the Uniform Partition of Heirs Property Act addresses that problem.</w:t>
      </w:r>
    </w:p>
    <w:p>
      <w:pPr>
        <w:pStyle w:val="ListParagraph"/>
        <w:numPr>
          <w:ilvl w:val="0"/>
          <w:numId w:val="1"/>
        </w:numPr>
        <w:spacing w:after="80"/>
      </w:pPr>
      <w:r>
        <w:t>Evaluate the regulation of bodily resources and surrogacy, and the growth of copyright terms under the Copyright Term Extension Act, as examples of how ownership rules are designed rather than natural.</w:t>
      </w:r>
    </w:p>
    <w:p>
      <w:pPr>
        <w:pStyle w:val="Heading2"/>
        <w:spacing w:after="120" w:before="240"/>
      </w:pPr>
      <w:r>
        <w:rPr>
          <w:b/>
          <w:bCs/>
        </w:rPr>
        <w:t>Six Stories of Ownership and Deliberate Ambiguity</w:t>
      </w:r>
    </w:p>
    <w:p>
      <w:pPr>
        <w:pStyle w:val="ListParagraph"/>
        <w:numPr>
          <w:ilvl w:val="0"/>
          <w:numId w:val="1"/>
        </w:numPr>
        <w:spacing w:after="80"/>
      </w:pPr>
      <w:r>
        <w:t>Professor Heller argues that all ownership claims rest on a small set of stories: first come, first served; possession is nine-tenths of the law; you reap what you sow (labor); my home is my castle (attachment); our bodies, ourselves (self-ownership); and family. Governments and businesses combine these stories to steer behavior. See Michael Heller &amp; James Salzman, Mine! How the Hidden Rules of Ownership Control Our Lives (Doubleday 2021).</w:t>
      </w:r>
    </w:p>
    <w:p>
      <w:pPr>
        <w:pStyle w:val="ListParagraph"/>
        <w:numPr>
          <w:ilvl w:val="0"/>
          <w:numId w:val="1"/>
        </w:numPr>
        <w:spacing w:after="80"/>
      </w:pPr>
      <w:r>
        <w:t>Deliberate ambiguity. Airlines control the space between seats but do not clearly assign it to the recliner or the passenger behind, so that, in Heller's account, the same space is effectively sold twice. Most such conflicts are resolved informally by norms and custom rather than by law.</w:t>
      </w:r>
    </w:p>
    <w:p>
      <w:pPr>
        <w:pStyle w:val="ListParagraph"/>
        <w:numPr>
          <w:ilvl w:val="0"/>
          <w:numId w:val="1"/>
        </w:numPr>
        <w:spacing w:after="80"/>
      </w:pPr>
      <w:r>
        <w:t>Ownership gridlock. Heller's earlier work describes the "tragedy of the anticommons," in which too many owners holding rights to exclude can cause a resource to be underused. See Michael A. Heller, The Tragedy of the Anticommons: Property in the Transition from Marx to Markets, 111 Harv. L. Rev. 621 (1998); Michael A. Heller &amp; Rebecca S. Eisenberg, Can Patents Deter Innovation? The Anticommons in Biomedical Research, 280 Science 698 (1998).</w:t>
      </w:r>
    </w:p>
    <w:p>
      <w:pPr>
        <w:pStyle w:val="Heading2"/>
        <w:spacing w:after="120" w:before="240"/>
      </w:pPr>
      <w:r>
        <w:rPr>
          <w:b/>
          <w:bCs/>
        </w:rPr>
        <w:t>First in Time and the Rule of Capture</w:t>
      </w:r>
    </w:p>
    <w:p>
      <w:pPr>
        <w:pStyle w:val="ListParagraph"/>
        <w:numPr>
          <w:ilvl w:val="0"/>
          <w:numId w:val="1"/>
        </w:numPr>
        <w:spacing w:after="80"/>
      </w:pPr>
      <w:r>
        <w:t>Pierson v. Post, 3 Cai. R. 175 (N.Y. Sup. Ct. 1805). A hunter's pursuit of a wild fox did not give him property in it. Ownership of a wild animal requires actual capture or mortal wounding with continued pursuit, so the fox belonged to Pierson, who killed and took it.</w:t>
      </w:r>
    </w:p>
    <w:p>
      <w:pPr>
        <w:pStyle w:val="ListParagraph"/>
        <w:numPr>
          <w:ilvl w:val="0"/>
          <w:numId w:val="1"/>
        </w:numPr>
        <w:spacing w:after="80"/>
      </w:pPr>
      <w:r>
        <w:t>The rule of capture was later extended to fugitive resources such as oil and natural gas, which belong to the party who brings them to the surface. See Westmoreland &amp; Cambria Natural Gas Co. v. De Witt, 130 Pa. 235 (1889).</w:t>
      </w:r>
    </w:p>
    <w:p>
      <w:pPr>
        <w:pStyle w:val="ListParagraph"/>
        <w:numPr>
          <w:ilvl w:val="0"/>
          <w:numId w:val="1"/>
        </w:numPr>
        <w:spacing w:after="80"/>
      </w:pPr>
      <w:r>
        <w:t>Popov v. Hayashi, No. 400545, 2002 WL 31833731 (Cal. Super. Ct. Dec. 18, 2002). Popov had taken significant but incomplete steps toward possession of Barry Bonds's 73rd home run ball before being knocked down by a crowd; Hayashi, who was not a wrongdoer, then picked it up. The court found that each had an equal claim and ordered the ball sold and the proceeds divided equally.</w:t>
      </w:r>
    </w:p>
    <w:p>
      <w:pPr>
        <w:pStyle w:val="ListParagraph"/>
        <w:numPr>
          <w:ilvl w:val="0"/>
          <w:numId w:val="1"/>
        </w:numPr>
        <w:spacing w:after="80"/>
      </w:pPr>
      <w:r>
        <w:t>Ex post and ex ante reasoning. Heller contrasts deciding what is fair between the parties before the court (ex post) with choosing the rule that will produce the best incentives going forward (ex ante). He would favor the fan who brings a glove and stops the ball, in part to encourage behavior that reduces spectator injuries.</w:t>
      </w:r>
    </w:p>
    <w:p>
      <w:pPr>
        <w:pStyle w:val="Heading2"/>
        <w:spacing w:after="120" w:before="240"/>
      </w:pPr>
      <w:r>
        <w:rPr>
          <w:b/>
          <w:bCs/>
        </w:rPr>
        <w:t>Possession, Adverse Possession, and Prescription</w:t>
      </w:r>
    </w:p>
    <w:p>
      <w:pPr>
        <w:pStyle w:val="ListParagraph"/>
        <w:numPr>
          <w:ilvl w:val="0"/>
          <w:numId w:val="1"/>
        </w:numPr>
        <w:spacing w:after="80"/>
      </w:pPr>
      <w:r>
        <w:t>Adverse possession transfers title to one who possesses land for the statutory period in a manner that is actual, open and notorious, exclusive, continuous, and hostile or under a claim of right. Heller summarizes the test as whether the claimant used the land as an ordinary owner would. Statutory periods vary by state, commonly from about 5 to 21 years or more.</w:t>
      </w:r>
    </w:p>
    <w:p>
      <w:pPr>
        <w:pStyle w:val="ListParagraph"/>
        <w:numPr>
          <w:ilvl w:val="0"/>
          <w:numId w:val="1"/>
        </w:numPr>
        <w:spacing w:after="80"/>
      </w:pPr>
      <w:r>
        <w:t>A prescriptive easement may arise from open, continuous, and adverse use of another's land (such as a regular path or driveway) for the prescriptive period, giving a right of use rather than title.</w:t>
      </w:r>
    </w:p>
    <w:p>
      <w:pPr>
        <w:pStyle w:val="ListParagraph"/>
        <w:numPr>
          <w:ilvl w:val="0"/>
          <w:numId w:val="1"/>
        </w:numPr>
        <w:spacing w:after="80"/>
      </w:pPr>
      <w:r>
        <w:t>Colorado. In 2007 a Boulder district court awarded part of a neighboring lot to a former judge and his wife who had used it for a path and garden for more than the 18-year statutory period. In response, the Colorado General Assembly in 2008 amended its adverse possession statute to require a good-faith belief that the possessor owned the land and to allow courts to award compensation to the record owner. See Colo. Rev. Stat. § 38-41-101(3).</w:t>
      </w:r>
    </w:p>
    <w:p>
      <w:pPr>
        <w:pStyle w:val="Heading2"/>
        <w:spacing w:after="120" w:before="240"/>
      </w:pPr>
      <w:r>
        <w:rPr>
          <w:b/>
          <w:bCs/>
        </w:rPr>
        <w:t>Attachment: Airspace and Drones</w:t>
      </w:r>
    </w:p>
    <w:p>
      <w:pPr>
        <w:pStyle w:val="ListParagraph"/>
        <w:numPr>
          <w:ilvl w:val="0"/>
          <w:numId w:val="1"/>
        </w:numPr>
        <w:spacing w:after="80"/>
      </w:pPr>
      <w:r>
        <w:t>The attachment principle extends ownership of land to resources above and below it, historically expressed in the maxim cuius est solum, eius est usque ad coelum et ad inferos.</w:t>
      </w:r>
    </w:p>
    <w:p>
      <w:pPr>
        <w:pStyle w:val="ListParagraph"/>
        <w:numPr>
          <w:ilvl w:val="0"/>
          <w:numId w:val="1"/>
        </w:numPr>
        <w:spacing w:after="80"/>
      </w:pPr>
      <w:r>
        <w:t>United States v. Causby, 328 U.S. 256 (1946). The Court rejected the ad coelum doctrine as applied to modern aviation, holding that navigable airspace is a public highway, while recognizing that frequent low-altitude flights that directly and immediately interfere with use of the land can amount to a taking. See also 49 U.S.C. § 40103 (U.S. sovereignty over airspace and public right of transit through navigable airspace).</w:t>
      </w:r>
    </w:p>
    <w:p>
      <w:pPr>
        <w:pStyle w:val="ListParagraph"/>
        <w:numPr>
          <w:ilvl w:val="0"/>
          <w:numId w:val="1"/>
        </w:numPr>
        <w:spacing w:after="80"/>
      </w:pPr>
      <w:r>
        <w:t>Drones. In 2015 a Kentucky homeowner, William Merideth, shot down a drone over his property; state charges were dismissed. The drone operator's federal suit seeking a declaration that the drone was in navigable airspace was dismissed for lack of subject-matter jurisdiction. Boggs v. Merideth, No. 3:16-CV-00006 (W.D. Ky. Mar. 21, 2017). The extent of a landowner's rights in low-altitude airspace remains unsettled.</w:t>
      </w:r>
    </w:p>
    <w:p>
      <w:pPr>
        <w:pStyle w:val="Heading2"/>
        <w:spacing w:after="120" w:before="240"/>
      </w:pPr>
      <w:r>
        <w:rPr>
          <w:b/>
          <w:bCs/>
        </w:rPr>
        <w:t>Attachment: Solar Access, Shorelines, and the Environment</w:t>
      </w:r>
    </w:p>
    <w:p>
      <w:pPr>
        <w:pStyle w:val="ListParagraph"/>
        <w:numPr>
          <w:ilvl w:val="0"/>
          <w:numId w:val="1"/>
        </w:numPr>
        <w:spacing w:after="80"/>
      </w:pPr>
      <w:r>
        <w:t>California Solar Shade Control Act, Cal. Pub. Res. Code §§ 25980–25986. The Act restricts trees and shrubs that shade more than 10 percent of a neighbor's solar collector during peak hours. In 2008 a Sunnyvale couple, Richard Treanor and Carolyn Bissett, were found to have violated the Act because their redwoods shaded Mark Vargas's solar panels. Later that year the legislature amended the Act to exempt trees and shrubs planted before the solar collector was installed.</w:t>
      </w:r>
    </w:p>
    <w:p>
      <w:pPr>
        <w:pStyle w:val="ListParagraph"/>
        <w:numPr>
          <w:ilvl w:val="0"/>
          <w:numId w:val="1"/>
        </w:numPr>
        <w:spacing w:after="80"/>
      </w:pPr>
      <w:r>
        <w:t>Stop the Beach Renourishment, Inc. v. Florida Department of Environmental Protection, 560 U.S. 702 (2010). Florida's beach restoration program, which fixed a property line and placed new sand seaward of it that was available to the public, did not take the littoral rights of Destin-area owners. The judgment was unanimous (8–0), with Justice Stevens not participating.</w:t>
      </w:r>
    </w:p>
    <w:p>
      <w:pPr>
        <w:pStyle w:val="ListParagraph"/>
        <w:numPr>
          <w:ilvl w:val="0"/>
          <w:numId w:val="1"/>
        </w:numPr>
        <w:spacing w:after="80"/>
      </w:pPr>
      <w:r>
        <w:t>Heller notes that attachment can work as a "wealth magnet," assigning new resources to existing owners, but can also be designed for conservation, for example through carbon-offset and cap-and-trade programs that treat standing forests as if attached to the land that forest communities control.</w:t>
      </w:r>
    </w:p>
    <w:p>
      <w:pPr>
        <w:pStyle w:val="Heading2"/>
        <w:spacing w:after="120" w:before="240"/>
      </w:pPr>
      <w:r>
        <w:rPr>
          <w:b/>
          <w:bCs/>
        </w:rPr>
        <w:t>Family: Inheritance and Heirs' Property</w:t>
      </w:r>
    </w:p>
    <w:p>
      <w:pPr>
        <w:pStyle w:val="ListParagraph"/>
        <w:numPr>
          <w:ilvl w:val="0"/>
          <w:numId w:val="1"/>
        </w:numPr>
        <w:spacing w:after="80"/>
      </w:pPr>
      <w:r>
        <w:t>When a landowner dies intestate, state intestacy statutes divide the property among heirs as tenants in common. Over several generations, fractional interests can multiply among dozens or hundreds of co-owners, making financing and management difficult.</w:t>
      </w:r>
    </w:p>
    <w:p>
      <w:pPr>
        <w:pStyle w:val="ListParagraph"/>
        <w:numPr>
          <w:ilvl w:val="0"/>
          <w:numId w:val="1"/>
        </w:numPr>
        <w:spacing w:after="80"/>
      </w:pPr>
      <w:r>
        <w:t>Under traditional partition law, any co-tenant, including one who has purchased a small fractional interest, may petition for partition, and courts often order a sale of the whole parcel. Heller explains how such sales contributed to the loss of Black-owned farmland in the South.</w:t>
      </w:r>
    </w:p>
    <w:p>
      <w:pPr>
        <w:pStyle w:val="ListParagraph"/>
        <w:numPr>
          <w:ilvl w:val="0"/>
          <w:numId w:val="1"/>
        </w:numPr>
        <w:spacing w:after="80"/>
      </w:pPr>
      <w:r>
        <w:t>Uniform Partition of Heirs Property Act (Unif. Law Comm'n 2010). Drafted with Professor Thomas W. Mitchell as reporter, the Act applies to qualifying heirs' property and provides notice, independent appraisal, a buyout right for co-tenants, a preference for partition in kind, and open-market sale procedures when a sale is ordered. As of 2025 it had been enacted in roughly two dozen states, plus the District of Columbia and the U.S. Virgin Islands.</w:t>
      </w:r>
    </w:p>
    <w:p>
      <w:pPr>
        <w:pStyle w:val="Heading2"/>
        <w:spacing w:after="120" w:before="240"/>
      </w:pPr>
      <w:r>
        <w:rPr>
          <w:b/>
          <w:bCs/>
        </w:rPr>
        <w:t>Self-Ownership and Surrogacy</w:t>
      </w:r>
    </w:p>
    <w:p>
      <w:pPr>
        <w:pStyle w:val="ListParagraph"/>
        <w:numPr>
          <w:ilvl w:val="0"/>
          <w:numId w:val="1"/>
        </w:numPr>
        <w:spacing w:after="80"/>
      </w:pPr>
      <w:r>
        <w:t>National Organ Transplant Act, 42 U.S.C. § 274e. It is unlawful to knowingly acquire, receive, or transfer any human organ for valuable consideration for use in transplantation if the transfer affects interstate commerce. By contrast, markets in hair and some other bodily materials are lawful, an example of the "on/off" approach Heller criticizes.</w:t>
      </w:r>
    </w:p>
    <w:p>
      <w:pPr>
        <w:pStyle w:val="ListParagraph"/>
        <w:numPr>
          <w:ilvl w:val="0"/>
          <w:numId w:val="1"/>
        </w:numPr>
        <w:spacing w:after="80"/>
      </w:pPr>
      <w:r>
        <w:t>In re Baby M, 109 N.J. 396, 537 A.2d 1227 (1988). The New Jersey Supreme Court held a paid traditional surrogacy contract invalid and unenforceable as contrary to law and public policy, restored the surrogate's status as legal mother, and decided custody under the best-interests standard.</w:t>
      </w:r>
    </w:p>
    <w:p>
      <w:pPr>
        <w:pStyle w:val="ListParagraph"/>
        <w:numPr>
          <w:ilvl w:val="0"/>
          <w:numId w:val="1"/>
        </w:numPr>
        <w:spacing w:after="80"/>
      </w:pPr>
      <w:r>
        <w:t>New York Child-Parent Security Act, N.Y. Fam. Ct. Act art. 5-C (effective Feb. 15, 2021), legalized and regulated compensated gestational surrogacy in New York.</w:t>
      </w:r>
    </w:p>
    <w:p>
      <w:pPr>
        <w:pStyle w:val="ListParagraph"/>
        <w:numPr>
          <w:ilvl w:val="0"/>
          <w:numId w:val="1"/>
        </w:numPr>
        <w:spacing w:after="80"/>
      </w:pPr>
      <w:r>
        <w:t>Michigan Assisted Reproduction and Surrogacy Parentage Act (2024), effective April 2025, repealed Michigan's criminal and civil bans on surrogacy contracts and permits compensated gestational surrogacy subject to statutory safeguards.</w:t>
      </w:r>
    </w:p>
    <w:p>
      <w:pPr>
        <w:pStyle w:val="Heading2"/>
        <w:spacing w:after="120" w:before="240"/>
      </w:pPr>
      <w:r>
        <w:rPr>
          <w:b/>
          <w:bCs/>
        </w:rPr>
        <w:t>Labor: Copyright Term and the Public Domain</w:t>
      </w:r>
    </w:p>
    <w:p>
      <w:pPr>
        <w:pStyle w:val="ListParagraph"/>
        <w:numPr>
          <w:ilvl w:val="0"/>
          <w:numId w:val="1"/>
        </w:numPr>
        <w:spacing w:after="80"/>
      </w:pPr>
      <w:r>
        <w:t>U.S. Const. art. I, § 8, cl. 8 authorizes Congress to secure to authors, for limited times, the exclusive right to their writings.</w:t>
      </w:r>
    </w:p>
    <w:p>
      <w:pPr>
        <w:pStyle w:val="ListParagraph"/>
        <w:numPr>
          <w:ilvl w:val="0"/>
          <w:numId w:val="1"/>
        </w:numPr>
        <w:spacing w:after="80"/>
      </w:pPr>
      <w:r>
        <w:t>Copyright Act of 1790, ch. 15, 1 Stat. 124. The first federal copyright term was 14 years, renewable for a second 14-year term if the author was living.</w:t>
      </w:r>
    </w:p>
    <w:p>
      <w:pPr>
        <w:pStyle w:val="ListParagraph"/>
        <w:numPr>
          <w:ilvl w:val="0"/>
          <w:numId w:val="1"/>
        </w:numPr>
        <w:spacing w:after="80"/>
      </w:pPr>
      <w:r>
        <w:t>Copyright Act of 1976 set a term of the author's life plus 50 years for new works and 75 years for works already under copyright. The Sonny Bono Copyright Term Extension Act, Pub. L. No. 105-298, 112 Stat. 2827 (1998), added 20 years, producing the current terms of life plus 70 years (17 U.S.C. § 302) and 95 years from publication for pre-1978 works still under copyright (17 U.S.C. § 304).</w:t>
      </w:r>
    </w:p>
    <w:p>
      <w:pPr>
        <w:pStyle w:val="ListParagraph"/>
        <w:numPr>
          <w:ilvl w:val="0"/>
          <w:numId w:val="1"/>
        </w:numPr>
        <w:spacing w:after="80"/>
      </w:pPr>
      <w:r>
        <w:t>Eldred v. Ashcroft, 537 U.S. 186 (2003). The Supreme Court upheld the Copyright Term Extension Act, including its application to existing works, against Copyright Clause and First Amendment challenges.</w:t>
      </w:r>
    </w:p>
    <w:p>
      <w:pPr>
        <w:pStyle w:val="ListParagraph"/>
        <w:numPr>
          <w:ilvl w:val="0"/>
          <w:numId w:val="1"/>
        </w:numPr>
        <w:spacing w:after="80"/>
      </w:pPr>
      <w:r>
        <w:t>Because of the 1998 extension, no published works entered the U.S. public domain by term expiration from 1999 through 2018. Since January 1, 2019, each year's works have entered the public domain annually. Steamboat Willie (1928), the first released Mickey Mouse cartoon, became public domain on January 1, 2024; works from 1930 did so on January 1, 2026. Trademark rights in characters are not limited by copyright term.</w:t>
      </w:r>
    </w:p>
    <w:p>
      <w:pPr>
        <w:pStyle w:val="Heading2"/>
        <w:spacing w:after="120" w:before="240"/>
      </w:pPr>
      <w:r>
        <w:rPr>
          <w:b/>
          <w:bCs/>
        </w:rPr>
        <w:t>Developments to Know</w:t>
      </w:r>
    </w:p>
    <w:p>
      <w:pPr>
        <w:pStyle w:val="ListParagraph"/>
        <w:numPr>
          <w:ilvl w:val="0"/>
          <w:numId w:val="1"/>
        </w:numPr>
        <w:spacing w:after="80"/>
      </w:pPr>
      <w:r>
        <w:t>Mickey Mouse and the public domain. The 1928 Steamboat Willie version of Mickey and Minnie Mouse entered the U.S. public domain on January 1, 2024. On January 1, 2026, works first published in 1930, including the debuts of Betty Boop and Pluto, and sound recordings from 1925 entered the public domain.</w:t>
      </w:r>
    </w:p>
    <w:p>
      <w:pPr>
        <w:pStyle w:val="ListParagraph"/>
        <w:numPr>
          <w:ilvl w:val="0"/>
          <w:numId w:val="1"/>
        </w:numPr>
        <w:spacing w:after="80"/>
      </w:pPr>
      <w:r>
        <w:t>Surrogacy legislation. New York's Child-Parent Security Act took effect February 15, 2021. Michigan, previously the last state with a broad criminal ban on surrogacy contracts, legalized compensated gestational surrogacy effective April 2025.</w:t>
      </w:r>
    </w:p>
    <w:p>
      <w:pPr>
        <w:pStyle w:val="ListParagraph"/>
        <w:numPr>
          <w:ilvl w:val="0"/>
          <w:numId w:val="1"/>
        </w:numPr>
        <w:spacing w:after="80"/>
      </w:pPr>
      <w:r>
        <w:t>Heirs' property. The Uniform Partition of Heirs Property Act has been enacted in roughly two dozen states, plus the District of Columbia and the U.S. Virgin Islands, as of 2025.</w:t>
      </w:r>
    </w:p>
    <w:p>
      <w:pPr>
        <w:pStyle w:val="ListParagraph"/>
        <w:numPr>
          <w:ilvl w:val="0"/>
          <w:numId w:val="1"/>
        </w:numPr>
        <w:spacing w:after="80"/>
      </w:pPr>
      <w:r>
        <w:t>Digital ownership disclosures. California AB 2426 (Cal. Bus. &amp; Prof. Code § 17500.6), effective January 1, 2025, prohibits sellers of digital goods such as movies, games, and e-books from using terms like "buy" or "purchase" unless they clearly disclose that the buyer receives a license that may be revoked, subject to exceptions.</w:t>
      </w:r>
    </w:p>
    <w:p>
      <w:pPr>
        <w:pStyle w:val="ListParagraph"/>
        <w:numPr>
          <w:ilvl w:val="0"/>
          <w:numId w:val="1"/>
        </w:numPr>
        <w:spacing w:after="80"/>
      </w:pPr>
      <w:r>
        <w:t>Right to repair. Colorado enacted the first U.S. right-to-repair law for agricultural equipment in 2023 and extended right-to-repair obligations to digital electronic equipment effective January 1, 2026; California, Minnesota, New York, Oregon, and other states have enacted consumer electronics repair laws. The Federal Trade Commission sued Deere &amp; Company in January 2025 over restrictions on tractor repairs. In July 2026, the FTC and five states (Illinois, Arizona, Michigan, Minnesota, and Wisconsin) reached a settlement requiring Deere, for 10 years, to provide farmers and independent repair shops the same diagnostic software, manuals, and repair tools available to its authorized dealers.</w:t>
      </w:r>
    </w:p>
    <w:p>
      <w:pPr>
        <w:pStyle w:val="ListParagraph"/>
        <w:numPr>
          <w:ilvl w:val="0"/>
          <w:numId w:val="1"/>
        </w:numPr>
        <w:spacing w:after="80"/>
      </w:pPr>
      <w:r>
        <w:t>Drones and airspace. Federal courts have not resolved how far a landowner's property rights extend into low-altitude airspace used by drones; Boggs v. Merideth was dismissed in 2017 for lack of federal jurisdiction.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