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Communities v. Wildfires</w:t>
      </w:r>
    </w:p>
    <w:p>
      <w:pPr>
        <w:spacing w:after="200"/>
      </w:pPr>
      <w:r>
        <w:rPr>
          <w:rFonts w:ascii="Montserrat" w:cs="Montserrat" w:eastAsia="Montserrat" w:hAnsi="Montserrat"/>
          <w:b/>
          <w:bCs/>
          <w:color w:val="E87722"/>
          <w:sz w:val="24"/>
          <w:szCs w:val="24"/>
        </w:rPr>
        <w:t xml:space="preserve">Prof. Stephen R. Miller</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how local governments can reduce wildfire risk in the wildland-urban interface (WUI), where development meets fire-prone vegetation. Topics include Community Wildfire Protection Plans (CWPPs) under the Healthy Forests Restoration Act of 2003; a cycle of planning, regulation, enforcement, and revision; land use and building tools at several scales; homeowners associations, Firewise USA, and nuisance abatement; insurance; the allocation of suppression costs; and recent state and federal developments.</w:t>
      </w:r>
    </w:p>
    <w:p>
      <w:pPr>
        <w:pStyle w:val="Heading2"/>
        <w:spacing w:after="120" w:before="240"/>
      </w:pPr>
      <w:r>
        <w:rPr>
          <w:b/>
          <w:bCs/>
        </w:rPr>
        <w:t xml:space="preserve">Learning Objectives</w:t>
      </w:r>
    </w:p>
    <w:p>
      <w:pPr>
        <w:pStyle w:val="ListParagraph"/>
        <w:numPr>
          <w:ilvl w:val="0"/>
          <w:numId w:val="1"/>
        </w:numPr>
        <w:spacing w:after="80"/>
      </w:pPr>
      <w:r>
        <w:t xml:space="preserve">Explain why wildfire suppression is primarily federal while decisions about where development occurs are primarily local.</w:t>
      </w:r>
    </w:p>
    <w:p>
      <w:pPr>
        <w:pStyle w:val="ListParagraph"/>
        <w:numPr>
          <w:ilvl w:val="0"/>
          <w:numId w:val="1"/>
        </w:numPr>
        <w:spacing w:after="80"/>
      </w:pPr>
      <w:r>
        <w:t xml:space="preserve">Describe the statutory elements of a Community Wildfire Protection Plan under 16 U.S.C. § 6511(3) and the role of CWPPs in federal funding.</w:t>
      </w:r>
    </w:p>
    <w:p>
      <w:pPr>
        <w:pStyle w:val="ListParagraph"/>
        <w:numPr>
          <w:ilvl w:val="0"/>
          <w:numId w:val="1"/>
        </w:numPr>
        <w:spacing w:after="80"/>
      </w:pPr>
      <w:r>
        <w:t xml:space="preserve">Identify regulatory and incentive tools available at the community, neighborhood, site, and building scales.</w:t>
      </w:r>
    </w:p>
    <w:p>
      <w:pPr>
        <w:pStyle w:val="ListParagraph"/>
        <w:numPr>
          <w:ilvl w:val="0"/>
          <w:numId w:val="1"/>
        </w:numPr>
        <w:spacing w:after="80"/>
      </w:pPr>
      <w:r>
        <w:t xml:space="preserve">Analyze the use of homeowners associations, Firewise USA, and nuisance abatement to secure ongoing vegetation management, and the constitutional constraints on those tools.</w:t>
      </w:r>
    </w:p>
    <w:p>
      <w:pPr>
        <w:pStyle w:val="ListParagraph"/>
        <w:numPr>
          <w:ilvl w:val="0"/>
          <w:numId w:val="1"/>
        </w:numPr>
        <w:spacing w:after="80"/>
      </w:pPr>
      <w:r>
        <w:t xml:space="preserve">Evaluate insurance-based approaches to wildfire risk, including risk-based pricing, residual markets, nonrenewal moratoria, and mitigation discounts.</w:t>
      </w:r>
    </w:p>
    <w:p>
      <w:pPr>
        <w:pStyle w:val="ListParagraph"/>
        <w:numPr>
          <w:ilvl w:val="0"/>
          <w:numId w:val="1"/>
        </w:numPr>
        <w:spacing w:after="80"/>
      </w:pPr>
      <w:r>
        <w:t xml:space="preserve">Summarize recent state and federal developments affecting wildfire land use regulation and funding.</w:t>
      </w:r>
    </w:p>
    <w:p>
      <w:pPr>
        <w:pStyle w:val="Heading2"/>
        <w:spacing w:after="120" w:before="240"/>
      </w:pPr>
      <w:r>
        <w:rPr>
          <w:b/>
          <w:bCs/>
        </w:rPr>
        <w:t xml:space="preserve">Federal Suppression and Local Land Use Authority</w:t>
      </w:r>
    </w:p>
    <w:p>
      <w:pPr>
        <w:spacing w:after="160"/>
      </w:pPr>
      <w:r>
        <w:t xml:space="preserve">Wildfire suppression on federal lands, and much of the response to large fires that threaten communities, is carried out by federal agencies coordinated through the National Interagency Fire Center in Boise, Idaho. Federal assistance for state and local suppression costs is available through Fire Management Assistance Grants under section 420 of the Stafford Act, 42 U.S.C. § 5187. The authority to decide where and how development occurs, however, rests with local governments exercising the police power through zoning, subdivision regulation, and building codes. See</w:t>
      </w:r>
      <w:r>
        <w:rPr>
          <w:i/>
          <w:iCs/>
        </w:rPr>
        <w:t xml:space="preserve">Village of Euclid v. Ambler Realty Co.</w:t>
      </w:r>
      <w:r>
        <w:t xml:space="preserve">, 272 U.S. 365 (1926). The guest notes that roughly 39,000 local governments make these decisions and that the fastest-growing jurisdictions are concentrated in the West and South. Local fire departments equipped for structure fires cannot defend every home when a wildfire overruns a community. The guest relays the Boise fire chief's observation that 16 engines can save, at most, 16 houses.</w:t>
      </w:r>
    </w:p>
    <w:p>
      <w:pPr>
        <w:pStyle w:val="Heading2"/>
        <w:spacing w:after="120" w:before="240"/>
      </w:pPr>
      <w:r>
        <w:rPr>
          <w:b/>
          <w:bCs/>
        </w:rPr>
        <w:t xml:space="preserve">Community Wildfire Protection Plans</w:t>
      </w:r>
    </w:p>
    <w:p>
      <w:pPr>
        <w:spacing w:after="160"/>
      </w:pPr>
      <w:r>
        <w:t xml:space="preserve">The Healthy Forests Restoration Act of 2003 (HFRA), Pub. L. No. 108-148, 117 Stat. 1887, 16 U.S.C. § 6501 et seq., created the CWPP. Under 16 U.S.C. § 6511(3), a CWPP is a plan for an at-risk community that:</w:t>
      </w:r>
    </w:p>
    <w:p>
      <w:pPr>
        <w:pStyle w:val="ListParagraph"/>
        <w:numPr>
          <w:ilvl w:val="0"/>
          <w:numId w:val="1"/>
        </w:numPr>
        <w:spacing w:after="80"/>
      </w:pPr>
      <w:r>
        <w:t xml:space="preserve">is developed within the context of collaborative agreements and guidance established by the Wildland Fire Leadership Council and agreed to by the applicable local government, local fire department, and state forestry agency, in consultation with interested parties and the federal land management agencies managing land in the vicinity;</w:t>
      </w:r>
    </w:p>
    <w:p>
      <w:pPr>
        <w:pStyle w:val="ListParagraph"/>
        <w:numPr>
          <w:ilvl w:val="0"/>
          <w:numId w:val="1"/>
        </w:numPr>
        <w:spacing w:after="80"/>
      </w:pPr>
      <w:r>
        <w:t xml:space="preserve">identifies and prioritizes areas for hazardous fuel reduction treatments on federal and non-federal land and recommends the types and methods of treatment; and</w:t>
      </w:r>
    </w:p>
    <w:p>
      <w:pPr>
        <w:pStyle w:val="ListParagraph"/>
        <w:numPr>
          <w:ilvl w:val="0"/>
          <w:numId w:val="1"/>
        </w:numPr>
        <w:spacing w:after="80"/>
      </w:pPr>
      <w:r>
        <w:t xml:space="preserve">recommends measures to reduce structural ignitability throughout the at-risk community.</w:t>
      </w:r>
    </w:p>
    <w:p>
      <w:pPr>
        <w:spacing w:after="160"/>
      </w:pPr>
      <w:r>
        <w:t xml:space="preserve">A CWPP may define the boundaries of the community's WUI, 16 U.S.C. § 6511(16), and federal agencies must give priority to fuel reduction projects identified in CWPPs, § 6513. The "community" may be a county, a city, a fire district, or a homeowners association, and plans may be nested. Risk assessment typically begins with mapping fuels, including areas that have burned historically or have missed several fire cycles. Historically prepared by fire agencies to support equipment requests, CWPPs should, the guest argues, be treated as land use and political documents prepared with elected officials, planners, and residents.</w:t>
      </w:r>
    </w:p>
    <w:p>
      <w:pPr>
        <w:spacing w:after="160"/>
      </w:pPr>
      <w:r>
        <w:t xml:space="preserve">CWPPs now carry direct funding consequences. The Community Wildfire Defense Grant program, 16 U.S.C. § 6592(f) (enacted by the Infrastructure Investment and Jobs Act, Pub. L. No. 117-58, § 40803(f) (2021)), awards up to $250,000 to create or update a CWPP (10 percent non-federal match) and up to $10 million for projects described in a CWPP less than 10 years old (25 percent match). Communities in the continental United States are ineligible unless they have adopted a roof construction standard similar to or more stringent than the applicable NFPA or International Code Council standard.</w:t>
      </w:r>
    </w:p>
    <w:p>
      <w:pPr>
        <w:pStyle w:val="Heading2"/>
        <w:spacing w:after="120" w:before="240"/>
      </w:pPr>
      <w:r>
        <w:rPr>
          <w:b/>
          <w:bCs/>
        </w:rPr>
        <w:t xml:space="preserve">The Planning Cycle</w:t>
      </w:r>
    </w:p>
    <w:p>
      <w:pPr>
        <w:spacing w:after="160"/>
      </w:pPr>
      <w:r>
        <w:t xml:space="preserve">The guest describes a four-part, repeating cycle:</w:t>
      </w:r>
    </w:p>
    <w:p>
      <w:pPr>
        <w:pStyle w:val="ListParagraph"/>
        <w:numPr>
          <w:ilvl w:val="0"/>
          <w:numId w:val="1"/>
        </w:numPr>
        <w:spacing w:after="80"/>
      </w:pPr>
      <w:r>
        <w:rPr>
          <w:b/>
          <w:bCs/>
        </w:rPr>
        <w:t xml:space="preserve">Plan.</w:t>
      </w:r>
      <w:r>
        <w:t xml:space="preserve">Governments and residents prepare a CWPP that sets a shared strategy.</w:t>
      </w:r>
    </w:p>
    <w:p>
      <w:pPr>
        <w:pStyle w:val="ListParagraph"/>
        <w:numPr>
          <w:ilvl w:val="0"/>
          <w:numId w:val="1"/>
        </w:numPr>
        <w:spacing w:after="80"/>
      </w:pPr>
      <w:r>
        <w:rPr>
          <w:b/>
          <w:bCs/>
        </w:rPr>
        <w:t xml:space="preserve">Regulate and incentivize.</w:t>
      </w:r>
      <w:r>
        <w:t xml:space="preserve">Each local government adopts its own package of regulations and incentives consistent with the plan.</w:t>
      </w:r>
    </w:p>
    <w:p>
      <w:pPr>
        <w:pStyle w:val="ListParagraph"/>
        <w:numPr>
          <w:ilvl w:val="0"/>
          <w:numId w:val="1"/>
        </w:numPr>
        <w:spacing w:after="80"/>
      </w:pPr>
      <w:r>
        <w:rPr>
          <w:b/>
          <w:bCs/>
        </w:rPr>
        <w:t xml:space="preserve">Enforce and maintain.</w:t>
      </w:r>
      <w:r>
        <w:t xml:space="preserve">Because fire departments are often reluctant to act as "tree cops," enforcement may be assigned to code enforcement staff, HOAs, or contractual arrangements.</w:t>
      </w:r>
    </w:p>
    <w:p>
      <w:pPr>
        <w:pStyle w:val="ListParagraph"/>
        <w:numPr>
          <w:ilvl w:val="0"/>
          <w:numId w:val="1"/>
        </w:numPr>
        <w:spacing w:after="80"/>
      </w:pPr>
      <w:r>
        <w:rPr>
          <w:b/>
          <w:bCs/>
        </w:rPr>
        <w:t xml:space="preserve">Respond and revise.</w:t>
      </w:r>
      <w:r>
        <w:t xml:space="preserve">A wildfire tests the system, or growth renders the plan outdated, and the community returns to the CWPP, codes, and incentives.</w:t>
      </w:r>
    </w:p>
    <w:p>
      <w:pPr>
        <w:spacing w:after="160"/>
      </w:pPr>
      <w:r>
        <w:t xml:space="preserve">Revision matters most in fast-growing jurisdictions such as Meridian, Idaho. Because wildfire is a statistical risk that competes with immediate demands, the guest recommends integrating it into routine processes, such as a chief resilience officer and fire department participation in pre-application meetings for projects in high-risk areas. Vegetation choices also matter: many non-native ornamental species increase fire intensity, while much native western vegetation is fire-adapted.</w:t>
      </w:r>
    </w:p>
    <w:p>
      <w:pPr>
        <w:pStyle w:val="Heading2"/>
        <w:spacing w:after="120" w:before="240"/>
      </w:pPr>
      <w:r>
        <w:rPr>
          <w:b/>
          <w:bCs/>
        </w:rPr>
        <w:t xml:space="preserve">Land Use and Building Tools at Multiple Scales</w:t>
      </w:r>
    </w:p>
    <w:p>
      <w:pPr>
        <w:spacing w:after="160"/>
      </w:pPr>
      <w:r>
        <w:t xml:space="preserve">The guest distinguishes a "simple approach," roughly 100 feet of vegetation management around a structure and a noncombustible roof, from a nested approach that applies different tools at different scales.</w:t>
      </w:r>
    </w:p>
    <w:p>
      <w:pPr>
        <w:pStyle w:val="Heading3"/>
        <w:spacing w:after="120" w:before="240"/>
      </w:pPr>
      <w:r>
        <w:rPr>
          <w:b/>
          <w:bCs/>
        </w:rPr>
        <w:t xml:space="preserve">Community Scale</w:t>
      </w:r>
    </w:p>
    <w:p>
      <w:pPr>
        <w:spacing w:after="160"/>
      </w:pPr>
      <w:r>
        <w:t xml:space="preserve">Comprehensive plans can map hazard areas, direct growth away from the highest-risk land, and set policies on road networks and access. California requires the general plan safety element to address wildfire risk in State Responsibility Areas and Very High Fire Hazard Severity Zones, Cal. Gov. Code § 65302(g), and requires findings, supported by substantial evidence, that a subdivision in those areas is consistent with State Board of Forestry fire safe regulations and will have structural fire protection and suppression services before a tentative or parcel map is approved, Cal. Gov. Code § 66474.02. Prohibiting development in high-risk areas is possible but, as the guest notes, often politically unacceptable.</w:t>
      </w:r>
    </w:p>
    <w:p>
      <w:pPr>
        <w:pStyle w:val="Heading3"/>
        <w:spacing w:after="120" w:before="240"/>
      </w:pPr>
      <w:r>
        <w:rPr>
          <w:b/>
          <w:bCs/>
        </w:rPr>
        <w:t xml:space="preserve">Neighborhood and Subdivision Scale</w:t>
      </w:r>
    </w:p>
    <w:p>
      <w:pPr>
        <w:spacing w:after="160"/>
      </w:pPr>
      <w:r>
        <w:t xml:space="preserve">Subdivision approvals can require secondary access, apparatus-ready roads, signage, water supply, and fuel breaks. Cluster subdivisions allow the units permitted by zoning to be built on smaller lots in the less hazardous part of a parcel, leaving the remainder as managed open space. Conditions on development approvals must satisfy the nexus and rough proportionality tests of</w:t>
      </w:r>
      <w:r>
        <w:rPr>
          <w:i/>
          <w:iCs/>
        </w:rPr>
        <w:t xml:space="preserve">Nollan v. California Coastal Commission</w:t>
      </w:r>
      <w:r>
        <w:t xml:space="preserve">, 483 U.S. 825 (1987), and</w:t>
      </w:r>
      <w:r>
        <w:rPr>
          <w:i/>
          <w:iCs/>
        </w:rPr>
        <w:t xml:space="preserve">Dolan v. City of Tigard</w:t>
      </w:r>
      <w:r>
        <w:t xml:space="preserve">, 512 U.S. 374 (1994), which apply equally to legislatively imposed conditions.</w:t>
      </w:r>
      <w:r>
        <w:rPr>
          <w:i/>
          <w:iCs/>
        </w:rPr>
        <w:t xml:space="preserve">Sheetz v. County of El Dorado</w:t>
      </w:r>
      <w:r>
        <w:t xml:space="preserve">, 601 U.S. 267 (2024).</w:t>
      </w:r>
    </w:p>
    <w:p>
      <w:pPr>
        <w:pStyle w:val="Heading3"/>
        <w:spacing w:after="120" w:before="240"/>
      </w:pPr>
      <w:r>
        <w:rPr>
          <w:b/>
          <w:bCs/>
        </w:rPr>
        <w:t xml:space="preserve">Site and Building Scale</w:t>
      </w:r>
    </w:p>
    <w:p>
      <w:pPr>
        <w:spacing w:after="160"/>
      </w:pPr>
      <w:r>
        <w:t xml:space="preserve">Defensible space and ignition-resistant construction regulate how property is used and maintained over time. California requires 100 feet of defensible space around structures in State Responsibility Areas, Cal. Pub. Res. Code § 4291, and in locally designated Very High Fire Hazard Severity Zones, Cal. Gov. Code § 51182, and AB 3074 (2020) added an ember-resistant zone within five feet of structures. Model codes include the International Wildland-Urban Interface Code and NFPA 1140,</w:t>
      </w:r>
      <w:r>
        <w:rPr>
          <w:i/>
          <w:iCs/>
        </w:rPr>
        <w:t xml:space="preserve">Standard for Wildland Fire Protection</w:t>
      </w:r>
      <w:r>
        <w:t xml:space="preserve">, which address roofs, vents, eaves, decks, gutters, and siding. The guest cites San Diego as a jurisdiction that regulates at each scale with broad public acceptance.</w:t>
      </w:r>
    </w:p>
    <w:p>
      <w:pPr>
        <w:pStyle w:val="Heading2"/>
        <w:spacing w:after="120" w:before="240"/>
      </w:pPr>
      <w:r>
        <w:rPr>
          <w:b/>
          <w:bCs/>
        </w:rPr>
        <w:t xml:space="preserve">Homeowners Associations, Firewise USA, and Nuisance Abatement</w:t>
      </w:r>
    </w:p>
    <w:p>
      <w:pPr>
        <w:spacing w:after="160"/>
      </w:pPr>
      <w:r>
        <w:t xml:space="preserve">Jurisdictions reluctant to regulate vegetation directly may require new subdivisions to form HOAs and encourage those HOAs to participate in Firewise USA, a program administered by the National Fire Protection Association. A recognized site must form a committee, obtain a wildfire risk assessment, adopt a multi-year action plan, hold an annual outreach event, meet a minimum annual investment in risk reduction, and renew each year. Recorded covenants and HOA enforcement can then secure ongoing maintenance.</w:t>
      </w:r>
    </w:p>
    <w:p>
      <w:pPr>
        <w:spacing w:after="160"/>
      </w:pPr>
      <w:r>
        <w:t xml:space="preserve">For individual hazards, local governments increasingly rely on nuisance abatement. California cities, for example, may declare weeds, rubbish, and other dangerous material a public nuisance, abate it, and recover the cost as a lien or special assessment. Cal. Gov. Code § 39501 et seq. Constraints include:</w:t>
      </w:r>
    </w:p>
    <w:p>
      <w:pPr>
        <w:pStyle w:val="ListParagraph"/>
        <w:numPr>
          <w:ilvl w:val="0"/>
          <w:numId w:val="1"/>
        </w:numPr>
        <w:spacing w:after="80"/>
      </w:pPr>
      <w:r>
        <w:rPr>
          <w:b/>
          <w:bCs/>
        </w:rPr>
        <w:t xml:space="preserve">Entry and inspection.</w:t>
      </w:r>
      <w:r>
        <w:t xml:space="preserve">Nonconsensual administrative inspections generally require a warrant, which may issue on reasonable legislative or administrative standards.</w:t>
      </w:r>
      <w:r>
        <w:rPr>
          <w:i/>
          <w:iCs/>
        </w:rPr>
        <w:t xml:space="preserve">Camara v. Municipal Court</w:t>
      </w:r>
      <w:r>
        <w:t xml:space="preserve">, 387 U.S. 523 (1967).</w:t>
      </w:r>
    </w:p>
    <w:p>
      <w:pPr>
        <w:pStyle w:val="ListParagraph"/>
        <w:numPr>
          <w:ilvl w:val="0"/>
          <w:numId w:val="1"/>
        </w:numPr>
        <w:spacing w:after="80"/>
      </w:pPr>
      <w:r>
        <w:rPr>
          <w:b/>
          <w:bCs/>
        </w:rPr>
        <w:t xml:space="preserve">Due process.</w:t>
      </w:r>
      <w:r>
        <w:t xml:space="preserve">Owners must receive notice, an opportunity to be heard, and a reasonable time to comply.</w:t>
      </w:r>
    </w:p>
    <w:p>
      <w:pPr>
        <w:pStyle w:val="ListParagraph"/>
        <w:numPr>
          <w:ilvl w:val="0"/>
          <w:numId w:val="1"/>
        </w:numPr>
        <w:spacing w:after="80"/>
      </w:pPr>
      <w:r>
        <w:rPr>
          <w:b/>
          <w:bCs/>
        </w:rPr>
        <w:t xml:space="preserve">Takings.</w:t>
      </w:r>
      <w:r>
        <w:t xml:space="preserve">Use restrictions are generally evaluated under</w:t>
      </w:r>
      <w:r>
        <w:rPr>
          <w:i/>
          <w:iCs/>
        </w:rPr>
        <w:t xml:space="preserve">Penn Central Transportation Co. v. City of New York</w:t>
      </w:r>
      <w:r>
        <w:t xml:space="preserve">, 438 U.S. 104 (1978); even a total deprivation of economic use is not compensable if it reflects background principles of nuisance and property law.</w:t>
      </w:r>
      <w:r>
        <w:rPr>
          <w:i/>
          <w:iCs/>
        </w:rPr>
        <w:t xml:space="preserve">Lucas v. South Carolina Coastal Council</w:t>
      </w:r>
      <w:r>
        <w:t xml:space="preserve">, 505 U.S. 1003 (1992).</w:t>
      </w:r>
    </w:p>
    <w:p>
      <w:pPr>
        <w:spacing w:after="160"/>
      </w:pPr>
      <w:r>
        <w:t xml:space="preserve">The guest also describes northern Idaho programs in which the local government performs initial fuel reduction in exchange for the owner's agreement to maintain it for five or 10 years.</w:t>
      </w:r>
    </w:p>
    <w:p>
      <w:pPr>
        <w:pStyle w:val="Heading2"/>
        <w:spacing w:after="120" w:before="240"/>
      </w:pPr>
      <w:r>
        <w:rPr>
          <w:b/>
          <w:bCs/>
        </w:rPr>
        <w:t xml:space="preserve">Insurance and Risk Pricing</w:t>
      </w:r>
    </w:p>
    <w:p>
      <w:pPr>
        <w:spacing w:after="160"/>
      </w:pPr>
      <w:r>
        <w:t xml:space="preserve">Subsidized wildfire insurance modeled on the National Flood Insurance Program, 42 U.S.C. § 4001 et seq., risks encouraging continued development in hazardous areas. Private, risk-based pricing would internalize the cost of locating in the WUI, but as premiums rise and insurers withdraw, political pressure to intervene grows.</w:t>
      </w:r>
    </w:p>
    <w:p>
      <w:pPr>
        <w:spacing w:after="160"/>
      </w:pPr>
      <w:r>
        <w:t xml:space="preserve">California illustrates these pressures. After a declared wildfire emergency, insurers may not cancel or nonrenew residential policies for one year in ZIP codes within or adjacent to the fire perimeter, Cal. Ins. Code § 675.1(b) (SB 824 (2018)); the moratorium does not require insurers to write new policies. Owners unable to obtain coverage may turn to the California FAIR Plan, the statutory insurer of last resort, Cal. Ins. Code § 10091 et seq. The "Safer from Wildfires" regulation requires insurers to recognize specified property-level and community-level mitigation, including Firewise USA participation, in their rates and to disclose wildfire risk scores. Local certification programs serve a similar function: Boulder County, Colorado's Wildfire Partners program inspects homes and issues a certificate of completed mitigation that owners may present to participating insurers, an approach the speakers describe as "sweat equity."</w:t>
      </w:r>
    </w:p>
    <w:p>
      <w:pPr>
        <w:pStyle w:val="Heading2"/>
        <w:spacing w:after="120" w:before="240"/>
      </w:pPr>
      <w:r>
        <w:rPr>
          <w:b/>
          <w:bCs/>
        </w:rPr>
        <w:t xml:space="preserve">Allocating Suppression Costs</w:t>
      </w:r>
    </w:p>
    <w:p>
      <w:pPr>
        <w:spacing w:after="160"/>
      </w:pPr>
      <w:r>
        <w:t xml:space="preserve">Because the federal taxpayer funds most suppression while local governments control development, scholars have proposed shifting some suppression costs to the local governments that approve development in the WUI or to owners who fail to maintain their land. The guest notes serious obstacles: a single catastrophic fire could impose losses of life and property and then threaten a local government with insolvency or long-term debt, and more than a century of federal suppression, dating to 1910, has created strong expectations that fires will be put out.</w:t>
      </w:r>
    </w:p>
    <w:p>
      <w:pPr>
        <w:pStyle w:val="Heading2"/>
        <w:spacing w:after="120" w:before="240"/>
      </w:pPr>
      <w:r>
        <w:rPr>
          <w:b/>
          <w:bCs/>
        </w:rPr>
        <w:t xml:space="preserve">Developments to Know</w:t>
      </w:r>
    </w:p>
    <w:p>
      <w:pPr>
        <w:pStyle w:val="ListParagraph"/>
        <w:numPr>
          <w:ilvl w:val="0"/>
          <w:numId w:val="1"/>
        </w:numPr>
        <w:spacing w:after="80"/>
      </w:pPr>
      <w:r>
        <w:rPr>
          <w:b/>
          <w:bCs/>
        </w:rPr>
        <w:t xml:space="preserve">Recent disasters.</w:t>
      </w:r>
      <w:r>
        <w:t xml:space="preserve">The Marshall Fire (December 30, 2021) destroyed 1,084 homes in Boulder County, Colorado. The Palisades and Eaton fires (January 2025) killed at least 31 people and destroyed more than 16,000 structures.</w:t>
      </w:r>
    </w:p>
    <w:p>
      <w:pPr>
        <w:pStyle w:val="ListParagraph"/>
        <w:numPr>
          <w:ilvl w:val="0"/>
          <w:numId w:val="1"/>
        </w:numPr>
        <w:spacing w:after="80"/>
      </w:pPr>
      <w:r>
        <w:rPr>
          <w:b/>
          <w:bCs/>
        </w:rPr>
        <w:t xml:space="preserve">California WUI Code and maps.</w:t>
      </w:r>
      <w:r>
        <w:t xml:space="preserve">The 2025 California Wildland-Urban Interface Code, Cal. Code Regs. tit. 24, pt. 7, based on the 2024 International Wildland-Urban Interface Code, took effect January 1, 2026, with emergency amendments confirming that it applies in High and Very High Fire Hazard Severity Zones in Local Responsibility Areas. Updated State Responsibility Area maps took effect April 1, 2024; Local Responsibility Area maps were released between February 10 and March 24, 2025, under Executive Order N-18-25, for local adoption within 120 days.</w:t>
      </w:r>
    </w:p>
    <w:p>
      <w:pPr>
        <w:pStyle w:val="ListParagraph"/>
        <w:numPr>
          <w:ilvl w:val="0"/>
          <w:numId w:val="1"/>
        </w:numPr>
        <w:spacing w:after="80"/>
      </w:pPr>
      <w:r>
        <w:rPr>
          <w:b/>
          <w:bCs/>
        </w:rPr>
        <w:t xml:space="preserve">Zone 0.</w:t>
      </w:r>
      <w:r>
        <w:t xml:space="preserve">AB 3074 required regulations by January 1, 2023; Executive Order N-18-25 directed completion by December 31, 2025. The Board of Forestry adopted emergency regulations on August 19, 2026, covering structures in State Responsibility Areas and occupied structures in local Very High zones, with existing structures phased in over three to five years. The Board submitted them to the Office of Administrative Law on August 28 and withdrew them in early September 2026 for technical revisions; they are not yet in effect. Supporters link Zone 0 to insurability; critics cite cost and vegetation removal.</w:t>
      </w:r>
    </w:p>
    <w:p>
      <w:pPr>
        <w:pStyle w:val="ListParagraph"/>
        <w:numPr>
          <w:ilvl w:val="0"/>
          <w:numId w:val="1"/>
        </w:numPr>
        <w:spacing w:after="80"/>
      </w:pPr>
      <w:r>
        <w:rPr>
          <w:b/>
          <w:bCs/>
        </w:rPr>
        <w:t xml:space="preserve">Colorado.</w:t>
      </w:r>
      <w:r>
        <w:t xml:space="preserve">The Wildfire Resiliency Code Board created by SB23-166 adopted a statewide code on July 1, 2025 (8 CCR 1507-39). Local governments with WUI areas had to adopt a code meeting or exceeding it by April 1, 2026, and enforce it by July 1, 2026. A bill to extend the deadline (HB26-1334) died in committee on April 7, 2026.</w:t>
      </w:r>
    </w:p>
    <w:p>
      <w:pPr>
        <w:pStyle w:val="ListParagraph"/>
        <w:numPr>
          <w:ilvl w:val="0"/>
          <w:numId w:val="1"/>
        </w:numPr>
        <w:spacing w:after="80"/>
      </w:pPr>
      <w:r>
        <w:rPr>
          <w:b/>
          <w:bCs/>
        </w:rPr>
        <w:t xml:space="preserve">Oregon SB 83 (2025).</w:t>
      </w:r>
      <w:r>
        <w:t xml:space="preserve">After opposition from rural property owners, Oregon repealed its statewide wildfire hazard map and associated defensible space and home-hardening mandates, substituting a model defensible space code for voluntary local adoption.</w:t>
      </w:r>
    </w:p>
    <w:p>
      <w:pPr>
        <w:pStyle w:val="ListParagraph"/>
        <w:numPr>
          <w:ilvl w:val="0"/>
          <w:numId w:val="1"/>
        </w:numPr>
        <w:spacing w:after="80"/>
      </w:pPr>
      <w:r>
        <w:rPr>
          <w:b/>
          <w:bCs/>
        </w:rPr>
        <w:t xml:space="preserve">Los Angeles rebuilding.</w:t>
      </w:r>
      <w:r>
        <w:t xml:space="preserve">Executive Order N-4-25 (January 12, 2025) suspended CEQA and the Coastal Act for rebuilding in substantially the same location within 110 percent of the prior footprint and height. Executive Order N-32-25 (July 30, 2025) suspended SB 9 (Cal. Gov. Code §§ 65852.21, 66411.7) in Very High zones within the Palisades and Eaton burn areas and authorized local restrictions; Mayor Bass's Emergency Executive Order No. 9 barred new SB 9 applications in the Palisades burn area. Supporters cited evacuation capacity; housing advocates criticized the exceptions.</w:t>
      </w:r>
    </w:p>
    <w:p>
      <w:pPr>
        <w:pStyle w:val="ListParagraph"/>
        <w:numPr>
          <w:ilvl w:val="0"/>
          <w:numId w:val="1"/>
        </w:numPr>
        <w:spacing w:after="80"/>
      </w:pPr>
      <w:r>
        <w:rPr>
          <w:b/>
          <w:bCs/>
        </w:rPr>
        <w:t xml:space="preserve">California insurance.</w:t>
      </w:r>
      <w:r>
        <w:t xml:space="preserve">On February 11, 2025, the Commissioner approved a $1 billion FAIR Plan assessment, allowing insurers to recoup up to half from policyholders. Sustainable Insurance Strategy regulations permit catastrophe models and reinsurance costs in ratemaking in exchange for commitments to write in distressed areas. The FAIR Plan held about 697,000 policies in mid-2026; consumer advocates call the commitments small relative to rate increases, and the Department calls such assessments premature.</w:t>
      </w:r>
    </w:p>
    <w:p>
      <w:pPr>
        <w:pStyle w:val="ListParagraph"/>
        <w:numPr>
          <w:ilvl w:val="0"/>
          <w:numId w:val="1"/>
        </w:numPr>
        <w:spacing w:after="80"/>
      </w:pPr>
      <w:r>
        <w:rPr>
          <w:b/>
          <w:bCs/>
        </w:rPr>
        <w:t xml:space="preserve">BRIC.</w:t>
      </w:r>
      <w:r>
        <w:t xml:space="preserve">FEMA terminated the Building Resilient Infrastructure and Communities program in April 2025. In a suit by a coalition of states, the U.S. District Court for the District of Massachusetts enjoined reallocation of its funds (August 5, 2025) and then held the termination unlawful (December 11, 2025). FEMA reopened BRIC with about $1 billion in March 2026, excluding hazard mitigation planning.</w:t>
      </w:r>
    </w:p>
    <w:p>
      <w:pPr>
        <w:pStyle w:val="ListParagraph"/>
        <w:numPr>
          <w:ilvl w:val="0"/>
          <w:numId w:val="1"/>
        </w:numPr>
        <w:spacing w:after="80"/>
      </w:pPr>
      <w:r>
        <w:rPr>
          <w:b/>
          <w:bCs/>
        </w:rPr>
        <w:t xml:space="preserve">Federal organization and legislation.</w:t>
      </w:r>
      <w:r>
        <w:t xml:space="preserve">Executive Order 14308, 90 Fed. Reg. 26175 (June 12, 2025), directed consolidation of federal wildland fire programs; Interior launched the U.S. Wildland Fire Service on January 12, 2026, combining the fire programs of four Interior bureaus (the Forest Service is not included). The Fix Our Forests Act, H.R. 471 (119th Cong.), passed the House 279&amp;ndash;141 on January 23, 2025; the Senate Agriculture Committee approved S. 1462 by 18&amp;ndash;5 on October 21, 2025. It has not been enacted.</w:t>
      </w:r>
    </w:p>
    <w:p>
      <w:pPr>
        <w:pStyle w:val="ListParagraph"/>
        <w:numPr>
          <w:ilvl w:val="0"/>
          <w:numId w:val="1"/>
        </w:numPr>
        <w:spacing w:after="80"/>
      </w:pPr>
      <w:r>
        <w:rPr>
          <w:b/>
          <w:bCs/>
        </w:rPr>
        <w:t xml:space="preserve">Prescribed fire liability.</w:t>
      </w:r>
      <w:r>
        <w:t xml:space="preserve">California's Good Fire Act, AB 1699 (Ch. 761, Stats. 2026), extends the state's Prescribed Fire Liability Program indefinitely and expands its claims fund. The speaker's 2026</w:t>
      </w:r>
      <w:r>
        <w:rPr>
          <w:i/>
          <w:iCs/>
        </w:rPr>
        <w:t xml:space="preserve">Utah Law Review</w:t>
      </w:r>
      <w:r>
        <w:t xml:space="preserve">article with Anastasia Telesetsky surveys prescribed fire liability in 11 western states.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2026-10-06T16:16:22.475Z</dcterms:created>
  <dcterms:modified xsi:type="dcterms:W3CDTF">2026-10-06T16:16:22.475Z</dcterms:modified>
</cp:coreProperties>
</file>

<file path=docProps/custom.xml><?xml version="1.0" encoding="utf-8"?>
<Properties xmlns="http://schemas.openxmlformats.org/officeDocument/2006/custom-properties" xmlns:vt="http://schemas.openxmlformats.org/officeDocument/2006/docPropsVTypes"/>
</file>