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0" w:lineRule="auto"/>
        <w:jc w:val="center"/>
        <w:rPr/>
      </w:pPr>
      <w:r w:rsidDel="00000000" w:rsidR="00000000" w:rsidRPr="00000000">
        <w:rPr>
          <w:b w:val="1"/>
          <w:bCs w:val="1"/>
          <w:sz w:val="28"/>
          <w:szCs w:val="28"/>
          <w:rtl w:val="0"/>
        </w:rPr>
        <w:t xml:space="preserve">Continuing Legal Education Written Materials</w:t>
      </w:r>
      <w:r w:rsidDel="00000000" w:rsidR="00000000" w:rsidRPr="00000000">
        <w:rPr>
          <w:rtl w:val="0"/>
        </w:rPr>
      </w:r>
    </w:p>
    <w:p w:rsidR="00000000" w:rsidDel="00000000" w:rsidP="00000000" w:rsidRDefault="00000000" w:rsidRPr="00000000" w14:paraId="00000002">
      <w:pPr>
        <w:spacing w:after="80" w:before="0" w:lineRule="auto"/>
        <w:jc w:val="center"/>
        <w:rPr/>
      </w:pPr>
      <w:r w:rsidDel="00000000" w:rsidR="00000000" w:rsidRPr="00000000">
        <w:rPr>
          <w:b w:val="1"/>
          <w:bCs w:val="1"/>
          <w:sz w:val="28"/>
          <w:szCs w:val="28"/>
          <w:rtl w:val="0"/>
        </w:rPr>
        <w:t xml:space="preserve">Communities v. Wildfires: Local Planning, WUI Development, and Wildfire Risk</w:t>
      </w:r>
      <w:r w:rsidDel="00000000" w:rsidR="00000000" w:rsidRPr="00000000">
        <w:rPr>
          <w:rtl w:val="0"/>
        </w:rPr>
      </w:r>
    </w:p>
    <w:p w:rsidR="00000000" w:rsidDel="00000000" w:rsidP="00000000" w:rsidRDefault="00000000" w:rsidRPr="00000000" w14:paraId="00000003">
      <w:pPr>
        <w:spacing w:after="80" w:before="0" w:lineRule="auto"/>
        <w:jc w:val="center"/>
        <w:rPr/>
      </w:pPr>
      <w:r w:rsidDel="00000000" w:rsidR="00000000" w:rsidRPr="00000000">
        <w:rPr>
          <w:b w:val="0"/>
          <w:bCs w:val="0"/>
          <w:sz w:val="21"/>
          <w:szCs w:val="21"/>
          <w:rtl w:val="0"/>
        </w:rPr>
        <w:t xml:space="preserve">Based on a TalksOnLaw interview with Professor Stephen R. Miller</w:t>
      </w:r>
      <w:r w:rsidDel="00000000" w:rsidR="00000000" w:rsidRPr="00000000">
        <w:rPr>
          <w:rtl w:val="0"/>
        </w:rPr>
      </w:r>
    </w:p>
    <w:p w:rsidR="00000000" w:rsidDel="00000000" w:rsidP="00000000" w:rsidRDefault="00000000" w:rsidRPr="00000000" w14:paraId="00000004">
      <w:pPr>
        <w:spacing w:after="80" w:before="0" w:lineRule="auto"/>
        <w:rPr/>
      </w:pPr>
      <w:r w:rsidDel="00000000" w:rsidR="00000000" w:rsidRPr="00000000">
        <w:rPr>
          <w:rtl w:val="0"/>
        </w:rPr>
      </w:r>
    </w:p>
    <w:p w:rsidR="00000000" w:rsidDel="00000000" w:rsidP="00000000" w:rsidRDefault="00000000" w:rsidRPr="00000000" w14:paraId="00000005">
      <w:pPr>
        <w:spacing w:after="80" w:before="0" w:lineRule="auto"/>
        <w:rPr/>
      </w:pPr>
      <w:r w:rsidDel="00000000" w:rsidR="00000000" w:rsidRPr="00000000">
        <w:rPr>
          <w:rtl w:val="0"/>
        </w:rPr>
        <w:t xml:space="preserve">How to Use These Materials These written materials are designed to stand alone as an instructional tool. They track and elaborate on the topics discussed in the interview, provide definitions and practical checklists, and include additional reference material attorneys can use after the course. They are not legal advice. Wildfire planning, land use, insurance, and liability questions are fact-specific and should be undertaken with qualified counsel, planners, fire professionals, insurers, and other advisors as appropriate.</w:t>
      </w:r>
    </w:p>
    <w:p w:rsidR="00000000" w:rsidDel="00000000" w:rsidP="00000000" w:rsidRDefault="00000000" w:rsidRPr="00000000" w14:paraId="00000006">
      <w:pPr>
        <w:pStyle w:val="Heading1"/>
        <w:spacing w:after="80" w:before="0" w:lineRule="auto"/>
        <w:rPr/>
      </w:pPr>
      <w:r w:rsidDel="00000000" w:rsidR="00000000" w:rsidRPr="00000000">
        <w:rPr>
          <w:rtl w:val="0"/>
        </w:rPr>
        <w:t xml:space="preserve">1. Course Overview and Learning Objectives</w:t>
      </w:r>
    </w:p>
    <w:p w:rsidR="00000000" w:rsidDel="00000000" w:rsidP="00000000" w:rsidRDefault="00000000" w:rsidRPr="00000000" w14:paraId="00000007">
      <w:pPr>
        <w:spacing w:after="80" w:before="0" w:lineRule="auto"/>
        <w:rPr/>
      </w:pPr>
      <w:r w:rsidDel="00000000" w:rsidR="00000000" w:rsidRPr="00000000">
        <w:rPr>
          <w:rtl w:val="0"/>
        </w:rPr>
        <w:t xml:space="preserve">This course examines wildfire risk through the lens of local land use and community planning. Professor Miller explains that wildfire response is often highly federalized at the suppression stage, but development decisions are often local. That mismatch matters: counties, cities, homeowners associations, and neighborhoods help decide where and how homes are built in the wildland-urban interface (WUI), while federal and state actors often bear large portions of the suppression and disaster-response burden.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Understand why wildfire risk is increasing in many western communities and why development in the WUI changes both public cost and private risk.</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Explain how Community Wildfire Protection Plans (CWPPs), created under the Healthy Forests Restoration Act of 2003, can coordinate federal, state, local, and community actors.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Identify the local regulatory and nonregulatory tools discussed in the interview: comprehensive planning, hazard mapping, zoning, subdivision rules, building and site standards, nuisance abatement, Firewise programs, insurance incentives, and HOA governance.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Apply the interview’s cyclical planning model: adopt a CWPP, translate it into regulations and incentives, maintain and enforce it, then revise the plan as risk, development, and disasters change.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Recognize the difficult policy tradeoffs around insurance, taxpayer-funded suppression, community responsibility, and the politics of requiring people to bear the cost of living in high-risk areas.</w:t>
      </w:r>
    </w:p>
    <w:p w:rsidR="00000000" w:rsidDel="00000000" w:rsidP="00000000" w:rsidRDefault="00000000" w:rsidRPr="00000000" w14:paraId="0000000D">
      <w:pPr>
        <w:pStyle w:val="Heading1"/>
        <w:spacing w:after="80" w:before="0" w:lineRule="auto"/>
        <w:rPr/>
      </w:pPr>
      <w:r w:rsidDel="00000000" w:rsidR="00000000" w:rsidRPr="00000000">
        <w:rPr>
          <w:rtl w:val="0"/>
        </w:rPr>
        <w:t xml:space="preserve">2. The Wildfire Crisis and the Wildland-Urban Interface</w:t>
      </w:r>
    </w:p>
    <w:p w:rsidR="00000000" w:rsidDel="00000000" w:rsidP="00000000" w:rsidRDefault="00000000" w:rsidRPr="00000000" w14:paraId="0000000E">
      <w:pPr>
        <w:spacing w:after="80" w:before="0" w:lineRule="auto"/>
        <w:rPr/>
      </w:pPr>
      <w:r w:rsidDel="00000000" w:rsidR="00000000" w:rsidRPr="00000000">
        <w:rPr>
          <w:rtl w:val="0"/>
        </w:rPr>
        <w:t xml:space="preserve">The interview begins with the scale of the wildfire problem. Professor Miller describes an acceleration in the number and severity of fires, with the West experiencing larger, more destructive events and wildfire smoke affecting air quality far beyond the burn perimeter. The current national data confirms the continuing relevance of the issue: the National Interagency Fire Center lists 77,850 wildfires and 5,131,474 acres burned in 2025, following 64,897 fires and 8,924,884 acres burned in 2024.</w:t>
      </w:r>
    </w:p>
    <w:p w:rsidR="00000000" w:rsidDel="00000000" w:rsidP="00000000" w:rsidRDefault="00000000" w:rsidRPr="00000000" w14:paraId="0000000F">
      <w:pPr>
        <w:spacing w:after="80" w:before="0" w:lineRule="auto"/>
        <w:rPr/>
      </w:pPr>
      <w:r w:rsidDel="00000000" w:rsidR="00000000" w:rsidRPr="00000000">
        <w:rPr>
          <w:rtl w:val="0"/>
        </w:rPr>
        <w:t xml:space="preserve">The course’s central planning concept is the wildland-urban interface, or WUI: the zone where human development meets or intermingles with vegetation, forests, rangeland, and other fire-prone landscapes. WUI areas often contain the fuels that historically burned, but now also contain homes, roads, utilities, and evacuation constraints. This changes wildfire from a natural-resource problem into a local government, land use, insurance, and housing problem.</w:t>
      </w:r>
    </w:p>
    <w:p w:rsidR="00000000" w:rsidDel="00000000" w:rsidP="00000000" w:rsidRDefault="00000000" w:rsidRPr="00000000" w14:paraId="00000010">
      <w:pPr>
        <w:pStyle w:val="Heading2"/>
        <w:spacing w:after="80" w:before="0" w:lineRule="auto"/>
        <w:rPr/>
      </w:pPr>
      <w:r w:rsidDel="00000000" w:rsidR="00000000" w:rsidRPr="00000000">
        <w:rPr>
          <w:rtl w:val="0"/>
        </w:rPr>
        <w:t xml:space="preserve">2.1 Why local land use decisions matter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Population growth in western and southern communities increases development pressure in scenic, exurban, and forest-adjacent areas.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Local governments generally control zoning, subdivision approvals, building standards, and site design even when nearby forests or rangelands are federally owned.</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Federal agencies may provide aircraft, hotshot crews, and suppression coordination, but local decisions determine many of the structures and lives that suppression resources are later asked to protect.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Firefighting costs are closely tied to homes threatened; the interview uses the example of extraordinary spending to protect individual homes or subdivisions.</w:t>
      </w:r>
    </w:p>
    <w:p w:rsidR="00000000" w:rsidDel="00000000" w:rsidP="00000000" w:rsidRDefault="00000000" w:rsidRPr="00000000" w14:paraId="00000015">
      <w:pPr>
        <w:pStyle w:val="Heading2"/>
        <w:spacing w:after="80" w:before="0" w:lineRule="auto"/>
        <w:rPr/>
      </w:pPr>
      <w:r w:rsidDel="00000000" w:rsidR="00000000" w:rsidRPr="00000000">
        <w:rPr>
          <w:rtl w:val="0"/>
        </w:rPr>
        <w:t xml:space="preserve">2.2 The federalism and cost-allocation problem</w:t>
      </w:r>
    </w:p>
    <w:p w:rsidR="00000000" w:rsidDel="00000000" w:rsidP="00000000" w:rsidRDefault="00000000" w:rsidRPr="00000000" w14:paraId="00000016">
      <w:pPr>
        <w:spacing w:after="80" w:before="0" w:lineRule="auto"/>
        <w:rPr/>
      </w:pPr>
      <w:r w:rsidDel="00000000" w:rsidR="00000000" w:rsidRPr="00000000">
        <w:rPr>
          <w:rtl w:val="0"/>
        </w:rPr>
        <w:t xml:space="preserve">A recurring theme is the mismatch between who approves development and who pays for suppression. Federal agencies own large areas of western land and coordinate major wildfire response, but local governments approve many WUI developments. The result is a classic externality: a community may receive the development benefits of new housing, tax base, and growth while federal or state taxpayers absorb a large share of fire suppression and recovery costs.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Professor Miller frames the problem as both legal and political: assigning more cost to local governments or homeowners might improve incentives, but it can also be politically difficult and financially destabilizing after a large fire.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Local governments often cannot save every home once a fire reaches the WUI; the more important legal question is how to reduce risk before ignition or before a fire reaches structures.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Planning lawyers should separate emergency response capacity from long-term mitigation authority. Fire departments may respond, but land use lawyers and planners often hold the tools that shape risk.</w:t>
      </w:r>
    </w:p>
    <w:p w:rsidR="00000000" w:rsidDel="00000000" w:rsidP="00000000" w:rsidRDefault="00000000" w:rsidRPr="00000000" w14:paraId="0000001A">
      <w:pPr>
        <w:pStyle w:val="Heading1"/>
        <w:spacing w:after="80" w:before="0" w:lineRule="auto"/>
        <w:rPr/>
      </w:pPr>
      <w:r w:rsidDel="00000000" w:rsidR="00000000" w:rsidRPr="00000000">
        <w:rPr>
          <w:rtl w:val="0"/>
        </w:rPr>
        <w:t xml:space="preserve">3. Community Wildfire Protection Plans (CWPPs)</w:t>
      </w:r>
    </w:p>
    <w:p w:rsidR="00000000" w:rsidDel="00000000" w:rsidP="00000000" w:rsidRDefault="00000000" w:rsidRPr="00000000" w14:paraId="0000001B">
      <w:pPr>
        <w:spacing w:after="80" w:before="0" w:lineRule="auto"/>
        <w:rPr/>
      </w:pPr>
      <w:r w:rsidDel="00000000" w:rsidR="00000000" w:rsidRPr="00000000">
        <w:rPr>
          <w:rtl w:val="0"/>
        </w:rPr>
        <w:t xml:space="preserve">The interview’s main legal tool is the Community Wildfire Protection Plan. The Healthy Forests Restoration Act of 2003 created the CWPP framework to invite community participation in wildfire planning and to coordinate federal, state, local, and community priorities. Professor Miller emphasizes that the process is flexible: a “community” can be a county, city, neighborhood, homeowners association, or nested group of communities.</w:t>
      </w:r>
    </w:p>
    <w:p w:rsidR="00000000" w:rsidDel="00000000" w:rsidP="00000000" w:rsidRDefault="00000000" w:rsidRPr="00000000" w14:paraId="0000001C">
      <w:pPr>
        <w:pStyle w:val="Heading2"/>
        <w:spacing w:after="80" w:before="0" w:lineRule="auto"/>
        <w:rPr/>
      </w:pPr>
      <w:r w:rsidDel="00000000" w:rsidR="00000000" w:rsidRPr="00000000">
        <w:rPr>
          <w:rtl w:val="0"/>
        </w:rPr>
        <w:t xml:space="preserve">3.1 What a CWPP does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Maps risk: identifies fuel, vegetation, topography, access, structures, and WUI areas where wildfire presents special danger.</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Sets priorities: allows the community to tell federal and state land managers which nearby fuels and mitigation projects matter most for local protection.</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Creates collaboration: brings fire management agencies, elected officials, planners, public works staff, neighborhood representatives, developers, businesses, and residents into the same planning process.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Supports funding eligibility and grant strategy: communities with CWPPs may be better positioned for federal or state wildfire-mitigation programs.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Builds a record: helps local governments justify later zoning, subdivision, vegetation, or building-code choices as part of a reasoned wildfire strategy.</w:t>
      </w:r>
    </w:p>
    <w:p w:rsidR="00000000" w:rsidDel="00000000" w:rsidP="00000000" w:rsidRDefault="00000000" w:rsidRPr="00000000" w14:paraId="00000022">
      <w:pPr>
        <w:pStyle w:val="Heading2"/>
        <w:spacing w:after="80" w:before="0" w:lineRule="auto"/>
        <w:rPr/>
      </w:pPr>
      <w:r w:rsidDel="00000000" w:rsidR="00000000" w:rsidRPr="00000000">
        <w:rPr>
          <w:rtl w:val="0"/>
        </w:rPr>
        <w:t xml:space="preserve">3.2 From fire department document to development tool</w:t>
      </w:r>
    </w:p>
    <w:p w:rsidR="00000000" w:rsidDel="00000000" w:rsidP="00000000" w:rsidRDefault="00000000" w:rsidRPr="00000000" w14:paraId="00000023">
      <w:pPr>
        <w:spacing w:after="80" w:before="0" w:lineRule="auto"/>
        <w:rPr/>
      </w:pPr>
      <w:r w:rsidDel="00000000" w:rsidR="00000000" w:rsidRPr="00000000">
        <w:rPr>
          <w:rtl w:val="0"/>
        </w:rPr>
        <w:t xml:space="preserve">Professor Miller notes that CWPPs historically were often owned by fire departments and used to identify equipment needs. The interview urges a broader view. A CWPP should not be only a fire-service procurement document. It should be a political, planning, and development tool that helps the community decide what level of risk is acceptable and what mix of regulation and incentives should follow.</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Planning counsel should ensure the CWPP is connected to the comprehensive plan, hazard mitigation plan, zoning code, subdivision code, and building or site standards.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CWPP should be treated as the first step in a cycle, not the final product. A plan that is never implemented, enforced, or revised will not materially reduce risk.</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useful CWPP is specific enough to guide decisions, but flexible enough to adapt as vegetation, development, insurance markets, fire behavior, and community politics change.</w:t>
      </w:r>
    </w:p>
    <w:p w:rsidR="00000000" w:rsidDel="00000000" w:rsidP="00000000" w:rsidRDefault="00000000" w:rsidRPr="00000000" w14:paraId="00000027">
      <w:pPr>
        <w:pStyle w:val="Heading2"/>
        <w:spacing w:after="80" w:before="0" w:lineRule="auto"/>
        <w:rPr/>
      </w:pPr>
      <w:r w:rsidDel="00000000" w:rsidR="00000000" w:rsidRPr="00000000">
        <w:rPr>
          <w:rtl w:val="0"/>
        </w:rPr>
        <w:t xml:space="preserve">3.3 The cyclical planning model</w:t>
      </w:r>
    </w:p>
    <w:p w:rsidR="00000000" w:rsidDel="00000000" w:rsidP="00000000" w:rsidRDefault="00000000" w:rsidRPr="00000000" w14:paraId="00000028">
      <w:pPr>
        <w:spacing w:after="80" w:before="0" w:lineRule="auto"/>
        <w:rPr/>
      </w:pPr>
      <w:r w:rsidDel="00000000" w:rsidR="00000000" w:rsidRPr="00000000">
        <w:rPr>
          <w:rtl w:val="0"/>
        </w:rPr>
        <w:t xml:space="preserve">The interview describes a four-part cycle: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Draft and adopt the CWPP through a collaborative process.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Translate the CWPP into local regulations, incentives, and programs that fit the community.</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Maintain and enforce those measures over time, including defensible space, vegetation, and building/site requirements.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Reevaluate after disasters or after conditions change, then update the CWPP and local tools accordingly.</w:t>
      </w:r>
    </w:p>
    <w:p w:rsidR="00000000" w:rsidDel="00000000" w:rsidP="00000000" w:rsidRDefault="00000000" w:rsidRPr="00000000" w14:paraId="0000002D">
      <w:pPr>
        <w:pStyle w:val="Heading1"/>
        <w:spacing w:after="80" w:before="0" w:lineRule="auto"/>
        <w:rPr/>
      </w:pPr>
      <w:r w:rsidDel="00000000" w:rsidR="00000000" w:rsidRPr="00000000">
        <w:rPr>
          <w:rtl w:val="0"/>
        </w:rPr>
        <w:t xml:space="preserve">4. Local Regulatory Tools</w:t>
      </w:r>
    </w:p>
    <w:p w:rsidR="00000000" w:rsidDel="00000000" w:rsidP="00000000" w:rsidRDefault="00000000" w:rsidRPr="00000000" w14:paraId="0000002E">
      <w:pPr>
        <w:spacing w:after="80" w:before="0" w:lineRule="auto"/>
        <w:rPr/>
      </w:pPr>
      <w:r w:rsidDel="00000000" w:rsidR="00000000" w:rsidRPr="00000000">
        <w:rPr>
          <w:rtl w:val="0"/>
        </w:rPr>
        <w:t xml:space="preserve">The interview makes clear that communities cannot rely only on suppression. They must decide where development should occur, how it should be designed, and what ongoing maintenance obligations should apply. These are familiar land-use tools applied to a fire-prone environment.</w:t>
      </w:r>
    </w:p>
    <w:p w:rsidR="00000000" w:rsidDel="00000000" w:rsidP="00000000" w:rsidRDefault="00000000" w:rsidRPr="00000000" w14:paraId="0000002F">
      <w:pPr>
        <w:pStyle w:val="Heading2"/>
        <w:spacing w:after="80" w:before="0" w:lineRule="auto"/>
        <w:rPr/>
      </w:pPr>
      <w:r w:rsidDel="00000000" w:rsidR="00000000" w:rsidRPr="00000000">
        <w:rPr>
          <w:rtl w:val="0"/>
        </w:rPr>
        <w:t xml:space="preserve">4.1 Planning, mapping, and zoning</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Comprehensive plans: can identify wildfire resilience as a community objective and signal where growth should be directed or discouraged.</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Hazard maps: can classify areas by relative wildfire risk and provide the factual basis for zoning or development standards.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Specific plans and overlay zones: can impose tailored requirements for WUI neighborhoods, hillside development, evacuation corridors, and fuel-management zones.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Subdivision rules: can address road width, emergency access, water supply, hydrants, turnarounds, clustered development, open-space buffers, and vegetation responsibilities.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Site and building requirements: can address roof materials, vents, defensible space, setbacks from vegetation, gutters, decks, and other ignition pathways.</w:t>
      </w:r>
    </w:p>
    <w:p w:rsidR="00000000" w:rsidDel="00000000" w:rsidP="00000000" w:rsidRDefault="00000000" w:rsidRPr="00000000" w14:paraId="00000035">
      <w:pPr>
        <w:pStyle w:val="Heading2"/>
        <w:spacing w:after="80" w:before="0" w:lineRule="auto"/>
        <w:rPr/>
      </w:pPr>
      <w:r w:rsidDel="00000000" w:rsidR="00000000" w:rsidRPr="00000000">
        <w:rPr>
          <w:rtl w:val="0"/>
        </w:rPr>
        <w:t xml:space="preserve">4.2 Density tradeoffs</w:t>
      </w:r>
    </w:p>
    <w:p w:rsidR="00000000" w:rsidDel="00000000" w:rsidP="00000000" w:rsidRDefault="00000000" w:rsidRPr="00000000" w14:paraId="00000036">
      <w:pPr>
        <w:spacing w:after="80" w:before="0" w:lineRule="auto"/>
        <w:rPr/>
      </w:pPr>
      <w:r w:rsidDel="00000000" w:rsidR="00000000" w:rsidRPr="00000000">
        <w:rPr>
          <w:rtl w:val="0"/>
        </w:rPr>
        <w:t xml:space="preserve">One of the more nuanced points in the interview is that density cuts both ways. In some communities, reducing density in high-risk areas may reduce the number of homes threatened. In other settings, more compact development may make it politically and economically easier to require higher standards, maintain common areas, and support local fire infrastructure. Professor Miller’s point is not that every WUI area requires the same answer; it is that communities must match the tool to the risk and the development pattern.</w:t>
      </w:r>
    </w:p>
    <w:p w:rsidR="00000000" w:rsidDel="00000000" w:rsidP="00000000" w:rsidRDefault="00000000" w:rsidRPr="00000000" w14:paraId="00000037">
      <w:pPr>
        <w:pStyle w:val="Heading2"/>
        <w:spacing w:after="80" w:before="0" w:lineRule="auto"/>
        <w:rPr/>
      </w:pPr>
      <w:r w:rsidDel="00000000" w:rsidR="00000000" w:rsidRPr="00000000">
        <w:rPr>
          <w:rtl w:val="0"/>
        </w:rPr>
        <w:t xml:space="preserve">4.3 Enforcement and the “tree cop” problem</w:t>
      </w:r>
    </w:p>
    <w:p w:rsidR="00000000" w:rsidDel="00000000" w:rsidP="00000000" w:rsidRDefault="00000000" w:rsidRPr="00000000" w14:paraId="00000038">
      <w:pPr>
        <w:spacing w:after="80" w:before="0" w:lineRule="auto"/>
        <w:rPr/>
      </w:pPr>
      <w:r w:rsidDel="00000000" w:rsidR="00000000" w:rsidRPr="00000000">
        <w:rPr>
          <w:rtl w:val="0"/>
        </w:rPr>
        <w:t xml:space="preserve">Even well-designed regulations can fail if no one is willing to enforce them. Professor Miller describes local firefighters’ reluctance to become “tree cops” responsible for policing vegetation choices and defensible-space compliance. That concern is practical and political. Fire personnel may be respected emergency responders, but enforcement of land-use or vegetation standards can feel very different from firefighting.</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Communities should decide who enforces wildfire regulations: fire department, code enforcement, planning department, HOA, special district, or a hybrid model.</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Ordinances should be administrable: clear standards, notice, cure periods, appeals, and authority for abatement where necessary.</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Enforcement should not be episodic. Vegetation grows back, gutters refill, and community risk changes over time.</w:t>
      </w:r>
    </w:p>
    <w:p w:rsidR="00000000" w:rsidDel="00000000" w:rsidP="00000000" w:rsidRDefault="00000000" w:rsidRPr="00000000" w14:paraId="0000003C">
      <w:pPr>
        <w:pStyle w:val="Heading1"/>
        <w:spacing w:after="80" w:before="0" w:lineRule="auto"/>
        <w:rPr/>
      </w:pPr>
      <w:r w:rsidDel="00000000" w:rsidR="00000000" w:rsidRPr="00000000">
        <w:rPr>
          <w:rtl w:val="0"/>
        </w:rPr>
        <w:t xml:space="preserve">5. Property-Level Mitigation and Community Governance</w:t>
      </w:r>
    </w:p>
    <w:p w:rsidR="00000000" w:rsidDel="00000000" w:rsidP="00000000" w:rsidRDefault="00000000" w:rsidRPr="00000000" w14:paraId="0000003D">
      <w:pPr>
        <w:spacing w:after="80" w:before="0" w:lineRule="auto"/>
        <w:rPr/>
      </w:pPr>
      <w:r w:rsidDel="00000000" w:rsidR="00000000" w:rsidRPr="00000000">
        <w:rPr>
          <w:rtl w:val="0"/>
        </w:rPr>
        <w:t xml:space="preserve">Many wildfire losses turn on property-level conditions: vegetation near structures, roof and vent materials, debris in gutters, spacing of trees, woodpiles, sheds, propane-tank areas, and access for firefighters. The interview stresses that the law can support mitigation through both public regulation and private governance.</w:t>
      </w:r>
    </w:p>
    <w:p w:rsidR="00000000" w:rsidDel="00000000" w:rsidP="00000000" w:rsidRDefault="00000000" w:rsidRPr="00000000" w14:paraId="0000003E">
      <w:pPr>
        <w:pStyle w:val="Heading2"/>
        <w:spacing w:after="80" w:before="0" w:lineRule="auto"/>
        <w:rPr/>
      </w:pPr>
      <w:r w:rsidDel="00000000" w:rsidR="00000000" w:rsidRPr="00000000">
        <w:rPr>
          <w:rtl w:val="0"/>
        </w:rPr>
        <w:t xml:space="preserve">5.1 Firewise, defensible space, and vegetation choices</w:t>
      </w:r>
    </w:p>
    <w:p w:rsidR="00000000" w:rsidDel="00000000" w:rsidP="00000000" w:rsidRDefault="00000000" w:rsidRPr="00000000" w14:paraId="0000003F">
      <w:pPr>
        <w:spacing w:after="80" w:before="0" w:lineRule="auto"/>
        <w:rPr/>
      </w:pPr>
      <w:r w:rsidDel="00000000" w:rsidR="00000000" w:rsidRPr="00000000">
        <w:rPr>
          <w:rtl w:val="0"/>
        </w:rPr>
        <w:t xml:space="preserve">Professor Miller discusses voluntary programs such as Firewise as a way to help neighborhoods and HOAs learn how to reduce risk without relying solely on government enforcement. The California Department of Insurance’s Safer from Wildfires program similarly describes a layered approach to protecting the structure, the immediate surroundings, and the community. The program identifies mitigation steps such as Class-A fire-rated roofs, ember-resistant zones, fire-resistant vents, removal of combustible materials, defensible space compliance, and community-wide risk-reduction programs.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interview’s vegetation point is important: some non-native ornamental species burn in ways that can worsen fire behavior, while some native vegetation is adapted to fire-prone landscapes.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Defensible space is not only an individual choice; it affects neighboring parcels and community-level spread.</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Mitigation programs work best when they combine education, funding assistance, certification, and long-term maintenance obligations.</w:t>
      </w:r>
    </w:p>
    <w:p w:rsidR="00000000" w:rsidDel="00000000" w:rsidP="00000000" w:rsidRDefault="00000000" w:rsidRPr="00000000" w14:paraId="00000043">
      <w:pPr>
        <w:pStyle w:val="Heading2"/>
        <w:spacing w:after="80" w:before="0" w:lineRule="auto"/>
        <w:rPr/>
      </w:pPr>
      <w:r w:rsidDel="00000000" w:rsidR="00000000" w:rsidRPr="00000000">
        <w:rPr>
          <w:rtl w:val="0"/>
        </w:rPr>
        <w:t xml:space="preserve">5.2 HOAs and private-law tools</w:t>
      </w:r>
    </w:p>
    <w:p w:rsidR="00000000" w:rsidDel="00000000" w:rsidP="00000000" w:rsidRDefault="00000000" w:rsidRPr="00000000" w14:paraId="00000044">
      <w:pPr>
        <w:spacing w:after="80" w:before="0" w:lineRule="auto"/>
        <w:rPr/>
      </w:pPr>
      <w:r w:rsidDel="00000000" w:rsidR="00000000" w:rsidRPr="00000000">
        <w:rPr>
          <w:rtl w:val="0"/>
        </w:rPr>
        <w:t xml:space="preserve">HOAs can play a major role because they can impose and enforce covenants, conditions, and restrictions that need not depend solely on local government. A subdivision may require Firewise participation, brush clearance, maintenance of common areas, use of less flammable landscaping, or architectural standards for roofs, vents, decks, and fences.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HOAs can be effective because they are close to the property and can enforce repeat maintenance obligations.</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They can also create equity and governance concerns if costs are high or rules are vague.</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Counsel drafting HOA documents should ensure wildfire obligations are specific, enforceable, and coordinated with local codes and insurance requirements.</w:t>
      </w:r>
    </w:p>
    <w:p w:rsidR="00000000" w:rsidDel="00000000" w:rsidP="00000000" w:rsidRDefault="00000000" w:rsidRPr="00000000" w14:paraId="00000048">
      <w:pPr>
        <w:pStyle w:val="Heading2"/>
        <w:spacing w:after="80" w:before="0" w:lineRule="auto"/>
        <w:rPr/>
      </w:pPr>
      <w:r w:rsidDel="00000000" w:rsidR="00000000" w:rsidRPr="00000000">
        <w:rPr>
          <w:rtl w:val="0"/>
        </w:rPr>
        <w:t xml:space="preserve">5.3 Nuisance abatement</w:t>
      </w:r>
    </w:p>
    <w:p w:rsidR="00000000" w:rsidDel="00000000" w:rsidP="00000000" w:rsidRDefault="00000000" w:rsidRPr="00000000" w14:paraId="00000049">
      <w:pPr>
        <w:spacing w:after="80" w:before="0" w:lineRule="auto"/>
        <w:rPr/>
      </w:pPr>
      <w:r w:rsidDel="00000000" w:rsidR="00000000" w:rsidRPr="00000000">
        <w:rPr>
          <w:rtl w:val="0"/>
        </w:rPr>
        <w:t xml:space="preserve">The interview also discusses nuisance abatement as a tool for dealing with high-risk properties. If a property owner leaves weeds around a propane tank, stacks combustible materials against a structure, or fails to clear hazardous vegetation, a local government may be able to treat the condition as a public nuisance and abate it after notice and process.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tool can be powerful because it allows direct risk reduction where a property threatens neighbors.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It also raises political and due-process concerns, especially in rural WUI areas where property owners may view government entry as intrusive.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Good ordinances should be clear about findings, notice, timelines, appeals, cost recovery, and emergency authority.</w:t>
      </w:r>
    </w:p>
    <w:p w:rsidR="00000000" w:rsidDel="00000000" w:rsidP="00000000" w:rsidRDefault="00000000" w:rsidRPr="00000000" w14:paraId="0000004D">
      <w:pPr>
        <w:pStyle w:val="Heading1"/>
        <w:spacing w:after="80" w:before="0" w:lineRule="auto"/>
        <w:rPr/>
      </w:pPr>
      <w:r w:rsidDel="00000000" w:rsidR="00000000" w:rsidRPr="00000000">
        <w:rPr>
          <w:rtl w:val="0"/>
        </w:rPr>
        <w:t xml:space="preserve">6. Insurance, Incentives, and Cost Responsibility</w:t>
      </w:r>
    </w:p>
    <w:p w:rsidR="00000000" w:rsidDel="00000000" w:rsidP="00000000" w:rsidRDefault="00000000" w:rsidRPr="00000000" w14:paraId="0000004E">
      <w:pPr>
        <w:spacing w:after="80" w:before="0" w:lineRule="auto"/>
        <w:rPr/>
      </w:pPr>
      <w:r w:rsidDel="00000000" w:rsidR="00000000" w:rsidRPr="00000000">
        <w:rPr>
          <w:rtl w:val="0"/>
        </w:rPr>
        <w:t xml:space="preserve">The interview’s insurance discussion highlights the tension between market pricing and political reality. In theory, insurance can internalize wildfire risk by making high-risk living more expensive. In practice, letting insurance markets fully price or withdraw from high-risk areas can leave homeowners uninsured, depress home values, destabilize communities, and generate pressure for government intervention.</w:t>
      </w:r>
    </w:p>
    <w:p w:rsidR="00000000" w:rsidDel="00000000" w:rsidP="00000000" w:rsidRDefault="00000000" w:rsidRPr="00000000" w14:paraId="0000004F">
      <w:pPr>
        <w:pStyle w:val="Heading2"/>
        <w:spacing w:after="80" w:before="0" w:lineRule="auto"/>
        <w:rPr/>
      </w:pPr>
      <w:r w:rsidDel="00000000" w:rsidR="00000000" w:rsidRPr="00000000">
        <w:rPr>
          <w:rtl w:val="0"/>
        </w:rPr>
        <w:t xml:space="preserve">6.1 Market pricing, subsidies, and political limits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federally subsidized wildfire insurance model could resemble flood insurance, but Professor Miller cautions that subsidy structures may encourage continued development in dangerous areas if risk is underpriced.</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 pure market model may discourage high-risk development, but it can be politically unacceptable when large numbers of residents cannot obtain or afford coverage.</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California’s recent experience illustrates the pressure point: after the Palisades, Eaton, Hurst, Lidia, Sunset, and Woodley fires, California expanded a mandatory one-year moratorium on homeowners insurance cancellations and non-renewals in affected and adjoining ZIP Codes.</w:t>
      </w:r>
    </w:p>
    <w:p w:rsidR="00000000" w:rsidDel="00000000" w:rsidP="00000000" w:rsidRDefault="00000000" w:rsidRPr="00000000" w14:paraId="00000053">
      <w:pPr>
        <w:pStyle w:val="Heading2"/>
        <w:spacing w:after="80" w:before="0" w:lineRule="auto"/>
        <w:rPr/>
      </w:pPr>
      <w:r w:rsidDel="00000000" w:rsidR="00000000" w:rsidRPr="00000000">
        <w:rPr>
          <w:rtl w:val="0"/>
        </w:rPr>
        <w:t xml:space="preserve">6.2 Incentive-based approaches</w:t>
      </w:r>
    </w:p>
    <w:p w:rsidR="00000000" w:rsidDel="00000000" w:rsidP="00000000" w:rsidRDefault="00000000" w:rsidRPr="00000000" w14:paraId="00000054">
      <w:pPr>
        <w:spacing w:after="80" w:before="0" w:lineRule="auto"/>
        <w:rPr/>
      </w:pPr>
      <w:r w:rsidDel="00000000" w:rsidR="00000000" w:rsidRPr="00000000">
        <w:rPr>
          <w:rtl w:val="0"/>
        </w:rPr>
        <w:t xml:space="preserve">The interview describes a more practical middle path: require or reward mitigation. Boulder’s approach, as described by Professor Miller, certifies certain risk-reduction actions that homeowners can use with participating insurers. Northern Idaho examples similarly involve public assistance for initial brush clearance paired with a multi-year maintenance agreement.</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This “sweat equity” model asks homeowners to do part of the risk-reduction work if taxpayers or insurers are expected to absorb part of the wildfire risk.</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Insurance discounts and certifications can make mitigation economically visible, not merely aspirational.</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Local governments can design incentives through rebates, grants, certificates, expedited permits, or coordination with insurers.</w:t>
      </w:r>
    </w:p>
    <w:p w:rsidR="00000000" w:rsidDel="00000000" w:rsidP="00000000" w:rsidRDefault="00000000" w:rsidRPr="00000000" w14:paraId="00000058">
      <w:pPr>
        <w:pStyle w:val="Heading2"/>
        <w:spacing w:after="80" w:before="0" w:lineRule="auto"/>
        <w:rPr/>
      </w:pPr>
      <w:r w:rsidDel="00000000" w:rsidR="00000000" w:rsidRPr="00000000">
        <w:rPr>
          <w:rtl w:val="0"/>
        </w:rPr>
        <w:t xml:space="preserve">6.3 Cost recovery and tort liability</w:t>
      </w:r>
    </w:p>
    <w:p w:rsidR="00000000" w:rsidDel="00000000" w:rsidP="00000000" w:rsidRDefault="00000000" w:rsidRPr="00000000" w14:paraId="00000059">
      <w:pPr>
        <w:spacing w:after="80" w:before="0" w:lineRule="auto"/>
        <w:rPr/>
      </w:pPr>
      <w:r w:rsidDel="00000000" w:rsidR="00000000" w:rsidRPr="00000000">
        <w:rPr>
          <w:rtl w:val="0"/>
        </w:rPr>
        <w:t xml:space="preserve">The interview closes with a difficult cost-allocation question: should communities or individual homeowners pay some portion of suppression costs when they choose to build or remain in high-risk areas? Professor Miller notes that academics sometimes propose such liability or cost-sharing, but implementation is politically difficult. A single catastrophic fire could impose costs that destabilize a small local government, create long-term debt, or punish residents after they have already suffered losses.</w:t>
      </w:r>
    </w:p>
    <w:p w:rsidR="00000000" w:rsidDel="00000000" w:rsidP="00000000" w:rsidRDefault="00000000" w:rsidRPr="00000000" w14:paraId="0000005A">
      <w:pPr>
        <w:pStyle w:val="Heading1"/>
        <w:spacing w:after="80" w:before="0" w:lineRule="auto"/>
        <w:rPr/>
      </w:pPr>
      <w:r w:rsidDel="00000000" w:rsidR="00000000" w:rsidRPr="00000000">
        <w:rPr>
          <w:rtl w:val="0"/>
        </w:rPr>
        <w:t xml:space="preserve">7. Practical Checklists</w:t>
      </w:r>
    </w:p>
    <w:p w:rsidR="00000000" w:rsidDel="00000000" w:rsidP="00000000" w:rsidRDefault="00000000" w:rsidRPr="00000000" w14:paraId="0000005B">
      <w:pPr>
        <w:pStyle w:val="Heading2"/>
        <w:spacing w:after="80" w:before="0" w:lineRule="auto"/>
        <w:rPr/>
      </w:pPr>
      <w:r w:rsidDel="00000000" w:rsidR="00000000" w:rsidRPr="00000000">
        <w:rPr>
          <w:rtl w:val="0"/>
        </w:rPr>
        <w:t xml:space="preserve">7.1 CWPP drafting checklist</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Define the community scale: county, city, neighborhood, HOA, special district, or nested plans.</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Map WUI risk with attention to vegetation, topography, access, water supply, evacuation, and vulnerable populations.</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Identify federal, state, local, and private stakeholders at the outset.</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Prioritize nearby federal or state fuel-treatment projects that most directly affect the community.</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Connect the CWPP to enforceable local tools: comprehensive plan, zoning, subdivision rules, site standards, nuisance ordinances, and incentives.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Set a review cycle and require updates after major fires, major development approvals, or material changes in insurance or fire behavior.</w:t>
      </w:r>
    </w:p>
    <w:p w:rsidR="00000000" w:rsidDel="00000000" w:rsidP="00000000" w:rsidRDefault="00000000" w:rsidRPr="00000000" w14:paraId="00000062">
      <w:pPr>
        <w:pStyle w:val="Heading2"/>
        <w:spacing w:after="80" w:before="0" w:lineRule="auto"/>
        <w:rPr/>
      </w:pPr>
      <w:r w:rsidDel="00000000" w:rsidR="00000000" w:rsidRPr="00000000">
        <w:rPr>
          <w:rtl w:val="0"/>
        </w:rPr>
        <w:t xml:space="preserve">7.2 Local government counsel checklist</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Verify statutory authority for wildfire-related land-use, building, vegetation, and nuisance regulations.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Build a record: hazard maps, fire history, evacuation constraints, suppression limits, and cost data.</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Design standards that are clear enough to enforce and flexible enough to adapt to site-specific risk.</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Separate emergency response roles from code enforcement roles; firefighters may not be the right long-term enforcement officials.</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Include due process protections for nuisance abatement, especially where entry onto private property is contemplated.</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Coordinate with insurance, grant, and Firewise-type programs so regulation and incentives reinforce each other.</w:t>
      </w:r>
    </w:p>
    <w:p w:rsidR="00000000" w:rsidDel="00000000" w:rsidP="00000000" w:rsidRDefault="00000000" w:rsidRPr="00000000" w14:paraId="00000069">
      <w:pPr>
        <w:pStyle w:val="Heading2"/>
        <w:spacing w:after="80" w:before="0" w:lineRule="auto"/>
        <w:rPr/>
      </w:pPr>
      <w:r w:rsidDel="00000000" w:rsidR="00000000" w:rsidRPr="00000000">
        <w:rPr>
          <w:rtl w:val="0"/>
        </w:rPr>
        <w:t xml:space="preserve">7.3 Developer and HOA checklist</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Plan for emergency access, defensible space, water supply, and long-term vegetation maintenance before subdivision approval.</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Use CC&amp;Rs to assign ongoing responsibility for common-area fuels, defensible space, roof/vent materials, and combustible storage.</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Budget for maintenance; wildfire governance fails when the initial design is strong but long-term funding is absent.</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Coordinate with local government and insurers to make mitigation investments visible and certifiable.</w:t>
      </w:r>
    </w:p>
    <w:p w:rsidR="00000000" w:rsidDel="00000000" w:rsidP="00000000" w:rsidRDefault="00000000" w:rsidRPr="00000000" w14:paraId="0000006E">
      <w:pPr>
        <w:pStyle w:val="Heading1"/>
        <w:spacing w:after="80" w:before="0" w:lineRule="auto"/>
        <w:rPr/>
      </w:pPr>
      <w:r w:rsidDel="00000000" w:rsidR="00000000" w:rsidRPr="00000000">
        <w:rPr>
          <w:rtl w:val="0"/>
        </w:rPr>
        <w:t xml:space="preserve">8. Resources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Stephen R. Miller, Planning for Wildfire at the Wildland-Urban Interface: A Guide for Western Cities, 49 Urban Lawyer 207 (2017).</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Healthy Forests Restoration Act of 2003, Pub. L. No. 108-148: https://www.congress.gov/108/plaws/publ148/PLAW-108publ148.pdf</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U.S. Fire Administration, How to Create a Community Wildfire Protection Plan: https://www.usfa.fema.gov/training/coffee_break/062420.html</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Boulder County Community Wildfire Protection Plan: https://www.bouldercounty.org/disasters/wildfires/mitigation/community-wildfire-protection-plan/</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NFPA Firewise USA: https://www.nfpa.org/education-and-research/wildfire/firewise-usa</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Allison Hirschlag, The Long Distance Harm Done by Wildfires, BBC (Aug. 23, 2020): https://www.bbc.com/future/article/20200821-how-wildfire-pollution-may-be-harming-your-health</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National Interagency Fire Center, Wildfires and Acres: https://www.nifc.gov/fire-information/statistics/wildfires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CAL FIRE, Wildfire Statistics: https://www.fire.ca.gov/our-impact/statistics</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California Department of Insurance, Safer from Wildfires: https://www.insurance.ca.gov/01-consumers/200-wrr/Safer-from-Wildfires.cfm</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California Department of Insurance, wildfire moratorium and insurance-market actions: https://www.insurance.ca.gov/0400-news/0100-press-releases/2025/release008-2025.cfm</w:t>
      </w:r>
    </w:p>
    <w:sectPr>
      <w:pgSz w:h="15840" w:w="12240" w:orient="portrait"/>
      <w:pgMar w:bottom="1224" w:top="1224" w:left="1224" w:right="122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6"/>
      <w:szCs w:val="26"/>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3"/>
      <w:szCs w:val="23"/>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HxHzAByeoGiSHa7nck0t1FfSsw==">CgMxLjA4AHIhMVFZd2h0MUhLWlNFcGlNaXRKdzBYNnZaTjhENGdSemZJ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