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Powers of the Modern CFIUS</w:t>
      </w:r>
    </w:p>
    <w:p>
      <w:pPr>
        <w:spacing w:after="200"/>
      </w:pPr>
      <w:r>
        <w:rPr>
          <w:rFonts w:ascii="Montserrat" w:cs="Montserrat" w:eastAsia="Montserrat" w:hAnsi="Montserrat"/>
          <w:b/>
          <w:bCs/>
          <w:color w:val="E87722"/>
          <w:sz w:val="24"/>
          <w:szCs w:val="24"/>
        </w:rPr>
        <w:t xml:space="preserve">Aimen Mir and Colin Costello</w:t>
      </w:r>
    </w:p>
    <w:p>
      <w:pPr>
        <w:pBdr>
          <w:bottom w:val="single" w:color="E87722" w:sz="6"/>
        </w:pBdr>
        <w:spacing w:after="300"/>
      </w:pPr>
    </w:p>
    <w:p>
      <w:pPr>
        <w:pStyle w:val="Heading2"/>
        <w:spacing w:after="120" w:before="240"/>
      </w:pPr>
      <w:r>
        <w:rPr>
          <w:b/>
          <w:bCs/>
        </w:rPr>
        <w:t xml:space="preserve">Overview and Statutory Framework</w:t>
      </w:r>
    </w:p>
    <w:p>
      <w:pPr>
        <w:spacing w:after="160"/>
      </w:pPr>
      <w:r>
        <w:t xml:space="preserve">The Committee on Foreign Investment in the United States (CFIUS) is an interagency body that reviews foreign investment in the United States for risks to national security. Its authority derives from Section 721 of the Defense Production Act of 1950, the statute that empowers the President, acting through the committee, to review and, where necessary, suspend or prohibit covered transactions. That authority was significantly expanded by the Foreign Investment Risk Review Modernization Act of 2018 (FIRRMA), which broadened the categories of transactions subject to review and introduced mandatory filing requirements. The Department of the Treasury chairs the committee, whose members include the Departments of Defense, Justice, Homeland Security, Commerce, Energy, and State, the U.S. Trade Representative, and the White House Office of Science and Technology Policy.</w:t>
      </w:r>
    </w:p>
    <w:p>
      <w:pPr>
        <w:pStyle w:val="Heading2"/>
        <w:spacing w:after="120" w:before="240"/>
      </w:pPr>
      <w:r>
        <w:rPr>
          <w:b/>
          <w:bCs/>
        </w:rPr>
        <w:t xml:space="preserve">Jurisdiction: Three Categories of Covered Transactions</w:t>
      </w:r>
    </w:p>
    <w:p>
      <w:pPr>
        <w:spacing w:after="160"/>
      </w:pPr>
      <w:r>
        <w:t xml:space="preserve">CFIUS jurisdiction extends to three kinds of transactions. The first, and historically the only, category is any transaction that results in foreign control of a U.S. business. The definition of control is not a bright line, and the guests emphasize that this determination has always required judgment. The second category, created by FIRRMA, covers non-controlling but non-passive investments in U.S. businesses involving critical technology, critical infrastructure, or sensitive personal data, which the regulations group under the label of TID businesses. The third category covers certain real estate transactions near sensitive government facilities, a jurisdiction notable because it requires no underlying business at all; it exists to reach assets that could serve as intelligence-collection platforms but that previously fell outside a control-based test.</w:t>
      </w:r>
    </w:p>
    <w:p>
      <w:pPr>
        <w:pStyle w:val="Heading2"/>
        <w:spacing w:after="120" w:before="240"/>
      </w:pPr>
      <w:r>
        <w:rPr>
          <w:b/>
          <w:bCs/>
        </w:rPr>
        <w:t xml:space="preserve">The Committee's Powers: Mitigation, Prohibition, and Consensus</w:t>
      </w:r>
    </w:p>
    <w:p>
      <w:pPr>
        <w:spacing w:after="160"/>
      </w:pPr>
      <w:r>
        <w:t xml:space="preserve">A common misconception is that CFIUS blocks transactions. As a legal matter, only the President may prohibit or suspend a transaction, and only by presidential order. The committee's operative tool is the mitigation agreement, a negotiated set of conditions designed to resolve an identified risk; CFIUS may also impose mitigation if the parties decline to negotiate. Where it concludes a risk cannot be mitigated, it recommends prohibition to the President.</w:t>
      </w:r>
    </w:p>
    <w:p>
      <w:pPr>
        <w:spacing w:after="160"/>
      </w:pPr>
      <w:r>
        <w:t xml:space="preserve">The committee acts by consensus, meaning a recommendation to prohibit reflects agreement across the member agencies. Because a President rarely departs from such a recommendation, parties informed that a prohibition is forthcoming almost always withdraw their filing and abandon the transaction rather than proceed to a public order.</w:t>
      </w:r>
    </w:p>
    <w:p>
      <w:pPr>
        <w:pStyle w:val="Heading2"/>
        <w:spacing w:after="120" w:before="240"/>
      </w:pPr>
      <w:r>
        <w:rPr>
          <w:b/>
          <w:bCs/>
        </w:rPr>
        <w:t xml:space="preserve">Confidentiality and the "Black Box"</w:t>
      </w:r>
    </w:p>
    <w:p>
      <w:pPr>
        <w:spacing w:after="160"/>
      </w:pPr>
      <w:r>
        <w:t xml:space="preserve">CFIUS operates primarily in a classified environment. Beyond information supplied by the parties and available from open sources, its risk analysis relies on classified intelligence. Strict statutory confidentiality provisions prohibit disclosure of information provided in a filing and even acknowledgment that a review exists, regardless of whether the parties have disclosed it themselves. The sole exception is a presidential prohibition, which must be published in the Federal Register. This structure creates a strong incentive to negotiate mitigation or to withdraw quietly rather than be publicly identified as a national security risk. The public attention surrounding the TikTok matter was, in the guests' view, an aberration rather than the norm.</w:t>
      </w:r>
    </w:p>
    <w:p>
      <w:pPr>
        <w:pStyle w:val="Heading2"/>
        <w:spacing w:after="120" w:before="240"/>
      </w:pPr>
      <w:r>
        <w:rPr>
          <w:b/>
          <w:bCs/>
        </w:rPr>
        <w:t xml:space="preserve">FIRRMA and the Expansion of Jurisdiction</w:t>
      </w:r>
    </w:p>
    <w:p>
      <w:pPr>
        <w:spacing w:after="160"/>
      </w:pPr>
      <w:r>
        <w:t xml:space="preserve">FIRRMA shifted the jurisdictional analysis from a question primarily of transaction structure to one requiring examination of the assets being acquired. Its implementing regulations, promulgated in 2020, contain language that the guests characterize as ambiguous and dependent on the exercise of judgment, and the government itself continues to work through their application. As a practical consequence, jurisdictional assessments are difficult for businesses to perform without specialized counsel.</w:t>
      </w:r>
    </w:p>
    <w:p>
      <w:pPr>
        <w:pStyle w:val="Heading2"/>
        <w:spacing w:after="120" w:before="240"/>
      </w:pPr>
      <w:r>
        <w:rPr>
          <w:b/>
          <w:bCs/>
        </w:rPr>
        <w:t xml:space="preserve">Mandatory and Voluntary Filings</w:t>
      </w:r>
    </w:p>
    <w:p>
      <w:pPr>
        <w:spacing w:after="160"/>
      </w:pPr>
      <w:r>
        <w:t xml:space="preserve">FIRRMA introduced mandatory filings, which arise in two circumstances. The first is where the target produces critical technologies, defined by reference to existing export control regulations, and where disclosure of that technology to the investor would require U.S. government authorization such as an export license. The second is where an investor with foreign government ownership of 49 percent or more acquires a 25 percent or greater interest in a TID business. Failure to make a required filing exposes the parties to a civil penalty of up to the value of the transaction, and the obligation runs to both the acquirer and the seller. There is no statute of limitations on CFIUS review, and the committee has reached back to transactions closed years earlier.</w:t>
      </w:r>
    </w:p>
    <w:p>
      <w:pPr>
        <w:spacing w:after="160"/>
      </w:pPr>
      <w:r>
        <w:t xml:space="preserve">Most filings remain voluntary. The decision to file turns on the probability that CFIUS would later request a filing, which reflects the committee's likely view of the national security risk, weighed against the cost of post-closing mitigation. The principal incentive to file is safe harbor: once CFIUS clears a transaction, it may not be reviewed again absent a material change or a material misstatement in the filing. The guests note that non-obvious risks, such as the sensitive personal data held by an insurance company, are the greatest source of difficulty in this analysis.</w:t>
      </w:r>
    </w:p>
    <w:p>
      <w:pPr>
        <w:pStyle w:val="Heading2"/>
        <w:spacing w:after="120" w:before="240"/>
      </w:pPr>
      <w:r>
        <w:rPr>
          <w:b/>
          <w:bCs/>
        </w:rPr>
        <w:t xml:space="preserve">Review Timelines and Procedure</w:t>
      </w:r>
    </w:p>
    <w:p>
      <w:pPr>
        <w:spacing w:after="160"/>
      </w:pPr>
      <w:r>
        <w:t xml:space="preserve">CFIUS offers two filing vehicles. A short-form declaration carries a 30-day review period, at the end of which the committee may clear the transaction, request a full filing, or issue a no-action letter indicating it could not conclude its review but is not presently requesting a notice. A joint voluntary notice triggers a 45-day review, followed by an optional 45-day investigation. If prohibition is recommended, the President has 15 days to decide. Parties may withdraw and refile a notice to restart the clock, a step typically taken in complex matters where mitigation cannot be negotiated within the statutory periods.</w:t>
      </w:r>
    </w:p>
    <w:p>
      <w:pPr>
        <w:pStyle w:val="Heading2"/>
        <w:spacing w:after="120" w:before="240"/>
      </w:pPr>
      <w:r>
        <w:rPr>
          <w:b/>
          <w:bCs/>
        </w:rPr>
        <w:t xml:space="preserve">Deal Strategy: Buyer, Seller, and Risk Allocation</w:t>
      </w:r>
    </w:p>
    <w:p>
      <w:pPr>
        <w:spacing w:after="160"/>
      </w:pPr>
      <w:r>
        <w:t xml:space="preserve">For a buyer, the central question is what mitigation the committee might seek and how it would affect deal economics, including restrictions on operating the business or on access to information; where such restrictions are foreseeable, a voluntary filing provides certainty before closing. Investment funds must also consider whether their limited partners present risk in the committee's eyes. For a seller, the mandatory filing obligation is a shared legal duty, pre-closing intervention creates execution risk, post-closing review can burden remaining owners in partial acquisitions, and a seller with other government business faces reputational exposure.</w:t>
      </w:r>
    </w:p>
    <w:p>
      <w:pPr>
        <w:spacing w:after="160"/>
      </w:pPr>
      <w:r>
        <w:t xml:space="preserve">In negotiating transaction documents, hell-or-high-water provisions, which obligate a party to close regardless of regulatory conditions, are less common in the CFIUS context than in antitrust because CFIUS remedies are more subjective and harder to predict. Parties may also engage in self-mitigation, such as agreeing that sensitive information will not be shared with a foreign board designee, to forestall the need for formal mitigation.</w:t>
      </w:r>
    </w:p>
    <w:p>
      <w:pPr>
        <w:pStyle w:val="Heading2"/>
        <w:spacing w:after="120" w:before="240"/>
      </w:pPr>
      <w:r>
        <w:rPr>
          <w:b/>
          <w:bCs/>
        </w:rPr>
        <w:t xml:space="preserve">Mitigation Agreements in Practice</w:t>
      </w:r>
    </w:p>
    <w:p>
      <w:pPr>
        <w:spacing w:after="160"/>
      </w:pPr>
      <w:r>
        <w:t xml:space="preserve">Mitigation ranges from a light supply assurance agreement, ensuring continued availability of a product to a government customer, to a proxy board arrangement that renders an investment entirely passive. Parties often find the negotiation frustrating because the classified basis for the committee's concern is not disclosed and their leverage is limited. Nonetheless, the guests emphasize that the decision to negotiate signals the committee's belief that mitigation is possible and its interest in seeing the transaction close. The greatest practical challenge is that the committee frequently cannot articulate its concern, as where a commercial product unknowingly sits within an important government system, leaving the parties to infer the problem and propose a solution.</w:t>
      </w:r>
    </w:p>
    <w:p>
      <w:pPr>
        <w:pStyle w:val="Heading2"/>
        <w:spacing w:after="120" w:before="240"/>
      </w:pPr>
      <w:r>
        <w:rPr>
          <w:b/>
          <w:bCs/>
        </w:rPr>
        <w:t xml:space="preserve">The Evolving Definition of National Security</w:t>
      </w:r>
    </w:p>
    <w:p>
      <w:pPr>
        <w:spacing w:after="160"/>
      </w:pPr>
      <w:r>
        <w:t xml:space="preserve">The term national security is not defined in the statute and evolves with technology and the relationship between commerce and government. Where the concept once centered on defense systems and electronics, it now encompasses artificial intelligence, robotics, and data. The committee is not concerned with all data but with sensitive personal data, categories of which are enumerated in the regulations. Medical supply chains fall within the committee's conception of national security. Although transactions involving Chinese investors have received particular scrutiny, CFIUS is not country-specific, and the guests stress that its risks apply regardless of an investor's origin.</w:t>
      </w:r>
    </w:p>
    <w:p>
      <w:pPr>
        <w:pStyle w:val="Heading2"/>
        <w:spacing w:after="120" w:before="240"/>
      </w:pPr>
      <w:r>
        <w:rPr>
          <w:b/>
          <w:bCs/>
        </w:rPr>
        <w:t xml:space="preserve">Developments to Know</w:t>
      </w:r>
    </w:p>
    <w:p>
      <w:pPr>
        <w:spacing w:after="160"/>
      </w:pPr>
      <w:r>
        <w:t xml:space="preserve">CFIUS's authority has expanded in several respects that practitioners should have in view. A 2022 executive order directed the committee to consider specified factors including supply-chain resilience, technological leadership, and sensitive data. Rules finalized in 2024 increased the maximum penalty for misstatements and omissions from $250,000 to $5 million, or the transaction value if greater; expanded the committee's authority to subpoena parties and third parties; authorized deadlines in mitigation negotiations; and extended real estate jurisdiction to approximately sixty additional military installations. Enforcement activity has increased markedly in the same period.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2026-09-24T04:38:12.715Z</dcterms:created>
  <dcterms:modified xsi:type="dcterms:W3CDTF">2026-09-24T04:38:12.715Z</dcterms:modified>
</cp:coreProperties>
</file>

<file path=docProps/custom.xml><?xml version="1.0" encoding="utf-8"?>
<Properties xmlns="http://schemas.openxmlformats.org/officeDocument/2006/custom-properties" xmlns:vt="http://schemas.openxmlformats.org/officeDocument/2006/docPropsVTypes"/>
</file>