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Empowering Women — Combatting Economic Abuse</w:t>
      </w:r>
    </w:p>
    <w:p>
      <w:pPr>
        <w:spacing w:after="200"/>
      </w:pPr>
      <w:r>
        <w:rPr>
          <w:rFonts w:ascii="Montserrat" w:cs="Montserrat" w:eastAsia="Montserrat" w:hAnsi="Montserrat"/>
          <w:b/>
          <w:bCs/>
          <w:color w:val="E87722"/>
          <w:sz w:val="24"/>
          <w:szCs w:val="24"/>
        </w:rPr>
        <w:t>Amy Barasch, Former Executive Director, Her Justice; Adjunct Professor of Law, Fordham Law School</w:t>
      </w:r>
    </w:p>
    <w:p>
      <w:pPr>
        <w:pStyle w:val="Heading2"/>
        <w:spacing w:after="120" w:before="240"/>
      </w:pPr>
      <w:r>
        <w:rPr>
          <w:b/>
          <w:bCs/>
        </w:rPr>
        <w:t>Overview</w:t>
      </w:r>
    </w:p>
    <w:p>
      <w:pPr>
        <w:spacing w:after="160"/>
      </w:pPr>
      <w:r>
        <w:t>This program examines economic abuse in intimate partner relationships and the legal tools lawyers can use to help survivors achieve financial independence. Amy Barasch, who led Her Justice, a New York City nonprofit that trains volunteer lawyers to represent women living in poverty in family, matrimonial, and immigration matters, explains intimate partner violence as a pattern of power and control; how abusers use money, credit, child support, and immigration status as tools of control; how divorce, child support litigation, and forensic accounting can protect survivors; and the Violence Against Women Act's immigration remedies. Updates cover the 2022 reauthorization of the Violence Against Women Act and its new definition of economic abuse, the spread of state coerced debt laws including New York's 2025 statute, the Safe Connections Act, and recent changes in U visa and VAWA practice.</w:t>
      </w:r>
    </w:p>
    <w:p>
      <w:pPr>
        <w:pStyle w:val="Heading2"/>
        <w:spacing w:after="120" w:before="240"/>
      </w:pPr>
      <w:r>
        <w:rPr>
          <w:b/>
          <w:bCs/>
        </w:rPr>
        <w:t>Learning Objectives</w:t>
      </w:r>
    </w:p>
    <w:p>
      <w:pPr>
        <w:pStyle w:val="ListParagraph"/>
        <w:numPr>
          <w:ilvl w:val="0"/>
          <w:numId w:val="1"/>
        </w:numPr>
        <w:spacing w:after="80"/>
      </w:pPr>
      <w:r>
        <w:t>Explain intimate partner violence as a pattern of power and control and identify common forms of economic abuse, including control of accounts, employment sabotage, theft of funds, and coerced debt.</w:t>
      </w:r>
    </w:p>
    <w:p>
      <w:pPr>
        <w:pStyle w:val="ListParagraph"/>
        <w:numPr>
          <w:ilvl w:val="0"/>
          <w:numId w:val="1"/>
        </w:numPr>
        <w:spacing w:after="80"/>
      </w:pPr>
      <w:r>
        <w:t>Identify litigation tools that protect survivors' finances, including the effect of a divorce filing on responsibility for marital debts, child support enforcement, and the use of forensic accountants to uncover hidden income.</w:t>
      </w:r>
    </w:p>
    <w:p>
      <w:pPr>
        <w:pStyle w:val="ListParagraph"/>
        <w:numPr>
          <w:ilvl w:val="0"/>
          <w:numId w:val="1"/>
        </w:numPr>
        <w:spacing w:after="80"/>
      </w:pPr>
      <w:r>
        <w:t>Describe how immigration status can be used as leverage by an abusive partner and the Violence Against Women Act's remedies for immigrant survivors, including U visas, VAWA self-petitions, battered spouse waivers, and work authorization.</w:t>
      </w:r>
    </w:p>
    <w:p>
      <w:pPr>
        <w:pStyle w:val="ListParagraph"/>
        <w:numPr>
          <w:ilvl w:val="0"/>
          <w:numId w:val="1"/>
        </w:numPr>
        <w:spacing w:after="80"/>
      </w:pPr>
      <w:r>
        <w:t>Apply current law, including the Violence Against Women Act Reauthorization Act of 2022, state coerced debt statutes such as New York's 2025 law, and the Safe Connections Act, when advising survivors.</w:t>
      </w:r>
    </w:p>
    <w:p>
      <w:pPr>
        <w:pStyle w:val="ListParagraph"/>
        <w:numPr>
          <w:ilvl w:val="0"/>
          <w:numId w:val="1"/>
        </w:numPr>
        <w:spacing w:after="80"/>
      </w:pPr>
      <w:r>
        <w:t>Recognize the value of pro bono partnerships in expanding access to civil legal services for low-income survivors.</w:t>
      </w:r>
    </w:p>
    <w:p>
      <w:pPr>
        <w:pStyle w:val="Heading2"/>
        <w:spacing w:after="120" w:before="240"/>
      </w:pPr>
      <w:r>
        <w:rPr>
          <w:b/>
          <w:bCs/>
        </w:rPr>
        <w:t>Intimate Partner Violence as Power and Control</w:t>
      </w:r>
    </w:p>
    <w:p>
      <w:pPr>
        <w:pStyle w:val="ListParagraph"/>
        <w:numPr>
          <w:ilvl w:val="0"/>
          <w:numId w:val="1"/>
        </w:numPr>
        <w:spacing w:after="80"/>
      </w:pPr>
      <w:r>
        <w:t>Intimate partner violence is a subset of domestic violence involving current or former spouses or dating partners. Practitioners describe it as a pattern of power and control in which physical violence, threats, emotional abuse, and economic abuse each serve as tools of control.</w:t>
      </w:r>
    </w:p>
    <w:p>
      <w:pPr>
        <w:pStyle w:val="ListParagraph"/>
        <w:numPr>
          <w:ilvl w:val="0"/>
          <w:numId w:val="1"/>
        </w:numPr>
        <w:spacing w:after="80"/>
      </w:pPr>
      <w:r>
        <w:t>A single severe threat (in Ms. Barasch's example, a police lieutenant holding his loaded service weapon to his wife's head) can maintain control over a household for years without further physical harm.</w:t>
      </w:r>
    </w:p>
    <w:p>
      <w:pPr>
        <w:pStyle w:val="ListParagraph"/>
        <w:numPr>
          <w:ilvl w:val="0"/>
          <w:numId w:val="1"/>
        </w:numPr>
        <w:spacing w:after="80"/>
      </w:pPr>
      <w:r>
        <w:t>Economic abuse includes preventing a partner from working or causing her to lose a job, controlling or emptying joint accounts, taking a partner's income, and intercepting household funds. Ms. Barasch reports that some clients' partners took the federal pandemic relief payments that arrived at the home.</w:t>
      </w:r>
    </w:p>
    <w:p>
      <w:pPr>
        <w:pStyle w:val="ListParagraph"/>
        <w:numPr>
          <w:ilvl w:val="0"/>
          <w:numId w:val="1"/>
        </w:numPr>
        <w:spacing w:after="80"/>
      </w:pPr>
      <w:r>
        <w:t>Federal definition. The Violence Against Women Act Reauthorization Act of 2022 defines "economic abuse" and includes economic and technological abuse in the federal definition of domestic violence. See Violence Against Women Act Reauthorization Act of 2022, Pub. L. No. 117-103, div. W (2022); 34 U.S.C. § 12291(a).</w:t>
      </w:r>
    </w:p>
    <w:p>
      <w:pPr>
        <w:pStyle w:val="Heading2"/>
        <w:spacing w:after="120" w:before="240"/>
      </w:pPr>
      <w:r>
        <w:rPr>
          <w:b/>
          <w:bCs/>
        </w:rPr>
        <w:t>Credit, Shared Finances, and Coerced Debt</w:t>
      </w:r>
    </w:p>
    <w:p>
      <w:pPr>
        <w:pStyle w:val="ListParagraph"/>
        <w:numPr>
          <w:ilvl w:val="0"/>
          <w:numId w:val="1"/>
        </w:numPr>
        <w:spacing w:after="80"/>
      </w:pPr>
      <w:r>
        <w:t>Marriage and joint accounts give an abusive partner access to a survivor's funds and credit. Survivors may find debts incurred in their names on their cards, accounts, or apps, sometimes after a one-time permission was treated as ongoing consent, and courts can be skeptical that charges were unauthorized.</w:t>
      </w:r>
    </w:p>
    <w:p>
      <w:pPr>
        <w:pStyle w:val="ListParagraph"/>
        <w:numPr>
          <w:ilvl w:val="0"/>
          <w:numId w:val="1"/>
        </w:numPr>
        <w:spacing w:after="80"/>
      </w:pPr>
      <w:r>
        <w:t>Filing for divorce fixes the date after which new debts are no longer treated as marital obligations of both spouses, which can limit a survivor's exposure to debt run up by the other spouse. In New York, marital property and debts are generally measured as of the commencement of the action. See N.Y. Dom. Rel. Law § 236(B)(1)(c).</w:t>
      </w:r>
    </w:p>
    <w:p>
      <w:pPr>
        <w:pStyle w:val="ListParagraph"/>
        <w:numPr>
          <w:ilvl w:val="0"/>
          <w:numId w:val="1"/>
        </w:numPr>
        <w:spacing w:after="80"/>
      </w:pPr>
      <w:r>
        <w:t>Survivors without credit history, including undocumented clients, must build credit before they can rent an apartment or obtain financing. Many card issuers accept an Individual Taxpayer Identification Number (ITIN) in place of a Social Security number, and secured or store cards paid in full each month are common starting points.</w:t>
      </w:r>
    </w:p>
    <w:p>
      <w:pPr>
        <w:pStyle w:val="ListParagraph"/>
        <w:numPr>
          <w:ilvl w:val="0"/>
          <w:numId w:val="1"/>
        </w:numPr>
        <w:spacing w:after="80"/>
      </w:pPr>
      <w:r>
        <w:t>Coerced debt statutes. Nine states (California, Connecticut, Illinois, Maine, Minnesota, Nevada, New York, Texas, and Vermont) have enacted laws allowing survivors to challenge debts incurred through coercion or fraud by an abuser. See, e.g., Cal. Civ. Code § 1798.97.1 et seq. (SB 975, 2022); N.Y. A.3038-B/S.1353-B (signed Dec. 19, 2025).</w:t>
      </w:r>
    </w:p>
    <w:p>
      <w:pPr>
        <w:pStyle w:val="Heading2"/>
        <w:spacing w:after="120" w:before="240"/>
      </w:pPr>
      <w:r>
        <w:rPr>
          <w:b/>
          <w:bCs/>
        </w:rPr>
        <w:t>Child Support and Hidden Income</w:t>
      </w:r>
    </w:p>
    <w:p>
      <w:pPr>
        <w:pStyle w:val="ListParagraph"/>
        <w:numPr>
          <w:ilvl w:val="0"/>
          <w:numId w:val="1"/>
        </w:numPr>
        <w:spacing w:after="80"/>
      </w:pPr>
      <w:r>
        <w:t>Nonpayment of child support is a common extension of an abuser's control. Even with an award, survivors may need to return to court repeatedly to enforce it.</w:t>
      </w:r>
    </w:p>
    <w:p>
      <w:pPr>
        <w:pStyle w:val="ListParagraph"/>
        <w:numPr>
          <w:ilvl w:val="0"/>
          <w:numId w:val="1"/>
        </w:numPr>
        <w:spacing w:after="80"/>
      </w:pPr>
      <w:r>
        <w:t>Abusive parents with unreported income may present a very low income to the court. Pro bono teams can bring in forensic accountants to investigate lifestyle and business activity, document actual income, and obtain an award reflecting ability to pay. New York calculates basic child support by statute based on parental income and the number of children. See N.Y. Fam. Ct. Act § 413; N.Y. Dom. Rel. Law § 240(1-b).</w:t>
      </w:r>
    </w:p>
    <w:p>
      <w:pPr>
        <w:pStyle w:val="ListParagraph"/>
        <w:numPr>
          <w:ilvl w:val="0"/>
          <w:numId w:val="1"/>
        </w:numPr>
        <w:spacing w:after="80"/>
      </w:pPr>
      <w:r>
        <w:t>Reform proposals discussed include reducing repeated adjournments for missing paperwork and moving straightforward cases involving W-2 wage earners to an administrative process so courts can focus on complex cases involving hidden or irregular income.</w:t>
      </w:r>
    </w:p>
    <w:p>
      <w:pPr>
        <w:pStyle w:val="Heading2"/>
        <w:spacing w:after="120" w:before="240"/>
      </w:pPr>
      <w:r>
        <w:rPr>
          <w:b/>
          <w:bCs/>
        </w:rPr>
        <w:t>Immigration Remedies for Survivors</w:t>
      </w:r>
    </w:p>
    <w:p>
      <w:pPr>
        <w:pStyle w:val="ListParagraph"/>
        <w:numPr>
          <w:ilvl w:val="0"/>
          <w:numId w:val="1"/>
        </w:numPr>
        <w:spacing w:after="80"/>
      </w:pPr>
      <w:r>
        <w:t>An abusive spouse or partner who controls a pending immigration petition can use it as leverage, and a survivor without lawful status or work authorization may have no legal way to support herself independently.</w:t>
      </w:r>
    </w:p>
    <w:p>
      <w:pPr>
        <w:pStyle w:val="ListParagraph"/>
        <w:numPr>
          <w:ilvl w:val="0"/>
          <w:numId w:val="1"/>
        </w:numPr>
        <w:spacing w:after="80"/>
      </w:pPr>
      <w:r>
        <w:t>Violence Against Women Act remedies include the VAWA self-petition for abused spouses and children of U.S. citizens and lawful permanent residents, the battered spouse waiver of the joint petition requirement for conditional residents, and the U visa for victims of qualifying crimes who assist law enforcement. See 8 U.S.C. §§ 1154(a)(1)(A)(iii), 1186a(c)(4)(C), 1101(a)(15)(U).</w:t>
      </w:r>
    </w:p>
    <w:p>
      <w:pPr>
        <w:pStyle w:val="ListParagraph"/>
        <w:numPr>
          <w:ilvl w:val="0"/>
          <w:numId w:val="1"/>
        </w:numPr>
        <w:spacing w:after="80"/>
      </w:pPr>
      <w:r>
        <w:t>U visas are capped at 10,000 principal visas per year; eligible petitioners above the cap are placed on a waiting list. See 8 U.S.C. § 1184(p)(2); USCIS Policy Manual, vol. 3, pt. C, ch. 6.</w:t>
      </w:r>
    </w:p>
    <w:p>
      <w:pPr>
        <w:pStyle w:val="ListParagraph"/>
        <w:numPr>
          <w:ilvl w:val="0"/>
          <w:numId w:val="1"/>
        </w:numPr>
        <w:spacing w:after="80"/>
      </w:pPr>
      <w:r>
        <w:t>Bona fide determinations. Since June 14, 2021, USCIS has granted employment authorization and deferred action to petitioners in the United States whose pending U visa petitions it determines are bona fide and who merit a favorable exercise of discretion. See USCIS Policy Manual, vol. 3, pt. C, ch. 5.</w:t>
      </w:r>
    </w:p>
    <w:p>
      <w:pPr>
        <w:pStyle w:val="Heading2"/>
        <w:spacing w:after="120" w:before="240"/>
      </w:pPr>
      <w:r>
        <w:rPr>
          <w:b/>
          <w:bCs/>
        </w:rPr>
        <w:t>The Pro Bono Model</w:t>
      </w:r>
    </w:p>
    <w:p>
      <w:pPr>
        <w:pStyle w:val="ListParagraph"/>
        <w:numPr>
          <w:ilvl w:val="0"/>
          <w:numId w:val="1"/>
        </w:numPr>
        <w:spacing w:after="80"/>
      </w:pPr>
      <w:r>
        <w:t>Her Justice uses a "pro bono first" model: a small staff of lawyers recruits, trains, and mentors volunteer attorneys from law firms, who provide most of the full representation. At the time of the interview, a 17-lawyer legal department supported representation of more than 3,500 women a year in New York City.</w:t>
      </w:r>
    </w:p>
    <w:p>
      <w:pPr>
        <w:pStyle w:val="ListParagraph"/>
        <w:numPr>
          <w:ilvl w:val="0"/>
          <w:numId w:val="1"/>
        </w:numPr>
        <w:spacing w:after="80"/>
      </w:pPr>
      <w:r>
        <w:t>Pro bono partnerships give low-income survivors access to resources they could not otherwise afford, including litigation teams and forensic accountants, and can secure emergency relief, such as the return of a child withheld by a parent in violation of a visitation order.</w:t>
      </w:r>
    </w:p>
    <w:p>
      <w:pPr>
        <w:pStyle w:val="Heading2"/>
        <w:spacing w:after="120" w:before="240"/>
      </w:pPr>
      <w:r>
        <w:rPr>
          <w:b/>
          <w:bCs/>
        </w:rPr>
        <w:t>Developments to Know</w:t>
      </w:r>
    </w:p>
    <w:p>
      <w:pPr>
        <w:pStyle w:val="ListParagraph"/>
        <w:numPr>
          <w:ilvl w:val="0"/>
          <w:numId w:val="1"/>
        </w:numPr>
        <w:spacing w:after="80"/>
      </w:pPr>
      <w:r>
        <w:t>Violence Against Women Act reauthorized. The Violence Against Women Act Reauthorization Act of 2022 was signed on March 15, 2022 as part of the Consolidated Appropriations Act, 2022 (Pub. L. No. 117-103). It reauthorizes VAWA grant programs through 2027 and adds a definition of economic abuse.</w:t>
      </w:r>
    </w:p>
    <w:p>
      <w:pPr>
        <w:pStyle w:val="ListParagraph"/>
        <w:numPr>
          <w:ilvl w:val="0"/>
          <w:numId w:val="1"/>
        </w:numPr>
        <w:spacing w:after="80"/>
      </w:pPr>
      <w:r>
        <w:t>New York coerced debt law. Governor Hochul signed A.3038-B/S.1353-B on December 19, 2025, effective 90 days later (March 2026). Creditors must stop collection once a survivor provides a sworn statement and documentation; survivors may sue or raise coerced debt as a defense; and the Attorney General may seek penalties of up to $5,000 per violation.</w:t>
      </w:r>
    </w:p>
    <w:p>
      <w:pPr>
        <w:pStyle w:val="ListParagraph"/>
        <w:numPr>
          <w:ilvl w:val="0"/>
          <w:numId w:val="1"/>
        </w:numPr>
        <w:spacing w:after="80"/>
      </w:pPr>
      <w:r>
        <w:t>Coerced debt nationally. Vermont's 2026 law brought the number of states with coerced debt statutes to nine. In December 2024 the Consumer Financial Protection Bureau issued an advance notice of proposed rulemaking on treating coerced debt as identity theft under the Fair Credit Reporting Act; as of its Spring 2025 regulatory agenda, the rulemaking remained at the pre-rule stage. Separately, the Debt Bondage Repair Act (2021) bars consumer reporting agencies from reporting adverse information resulting from human trafficking. See 15 U.S.C. § 1681c-3.</w:t>
      </w:r>
    </w:p>
    <w:p>
      <w:pPr>
        <w:pStyle w:val="ListParagraph"/>
        <w:numPr>
          <w:ilvl w:val="0"/>
          <w:numId w:val="1"/>
        </w:numPr>
        <w:spacing w:after="80"/>
      </w:pPr>
      <w:r>
        <w:t>Safe Connections Act. Signed December 7, 2022 (Pub. L. No. 117-223), the Act lets survivors separate their mobile lines from a shared plan with an abuser. The FCC's implementing rules took effect July 15, 2024.</w:t>
      </w:r>
    </w:p>
    <w:p>
      <w:pPr>
        <w:pStyle w:val="ListParagraph"/>
        <w:numPr>
          <w:ilvl w:val="0"/>
          <w:numId w:val="1"/>
        </w:numPr>
        <w:spacing w:after="80"/>
      </w:pPr>
      <w:r>
        <w:t>New York economic abuse education. A 2023 New York law (A.5347/S.5915) directs the Office for the Prevention of Domestic Violence to create and distribute materials on economic abuse. A pending bill (S8633) would add coercive control, including control of economic resources, as a basis for orders of protection; it has not been enacted.</w:t>
      </w:r>
    </w:p>
    <w:p>
      <w:pPr>
        <w:pStyle w:val="ListParagraph"/>
        <w:numPr>
          <w:ilvl w:val="0"/>
          <w:numId w:val="1"/>
        </w:numPr>
        <w:spacing w:after="80"/>
      </w:pPr>
      <w:r>
        <w:t>Immigration enforcement and policy changes. On January 30, 2025, ICE rescinded earlier guidance that limited enforcement against victims with pending VAWA, U, and T petitions. On May 20, 2026, in ICWC v. Noem (C.D. Cal.), the court stayed that rescission for certified classes and reinstated the earlier policies; an appeal was expected. USCIS revised its VAWA self-petition and confidentiality guidance in December 2025 (Policy Alert PA-2025-34) and issued Policy Alert PA-2026-01 (May 8, 2026) describing deferred action as an extraordinary, case-by-case exercise of discretion. Practitioners should confirm current policy before advising clients.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