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Line Prosecutors v. Main Justice</w:t>
      </w:r>
    </w:p>
    <w:p>
      <w:pPr>
        <w:spacing w:after="200"/>
      </w:pPr>
      <w:r>
        <w:rPr>
          <w:rFonts w:ascii="Montserrat" w:cs="Montserrat" w:eastAsia="Montserrat" w:hAnsi="Montserrat"/>
          <w:b/>
          <w:bCs/>
          <w:color w:val="E87722"/>
          <w:sz w:val="24"/>
          <w:szCs w:val="24"/>
        </w:rPr>
        <w:t xml:space="preserve">Profs Bruce Green &amp; Rebecca Roiphe</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independence of federal prosecutors from political direction within the executive branch. It covers the constitutional and statutory structure of the Department of Justice, the distinction between policy direction and intervention in individual cases, the Attorney General's dual role, Department policies governing White House contacts, election-sensitive investigations, and public statements, the special counsel regulations, and prosecutors' ethical duties. It uses the Watergate "Saturday Night Massacre," the Mueller report, and the Stone and Flynn cases as case studies, and reviews developments through September 2026, including</w:t>
      </w:r>
      <w:r>
        <w:rPr>
          <w:i/>
          <w:iCs/>
        </w:rPr>
        <w:t xml:space="preserve">Trump v. United States</w:t>
      </w:r>
      <w:r>
        <w:t xml:space="preserve">and the prosecutions and dismissals of the second Trump administration.</w:t>
      </w:r>
    </w:p>
    <w:p>
      <w:pPr>
        <w:pStyle w:val="Heading2"/>
        <w:spacing w:after="120" w:before="240"/>
      </w:pPr>
      <w:r>
        <w:rPr>
          <w:b/>
          <w:bCs/>
        </w:rPr>
        <w:t xml:space="preserve">Learning Objectives</w:t>
      </w:r>
    </w:p>
    <w:p>
      <w:pPr>
        <w:pStyle w:val="ListParagraph"/>
        <w:numPr>
          <w:ilvl w:val="0"/>
          <w:numId w:val="1"/>
        </w:numPr>
        <w:spacing w:after="80"/>
      </w:pPr>
      <w:r>
        <w:t xml:space="preserve">Describe the legal structure for appointing, supervising, and removing the Attorney General, U.S. Attorneys, and line prosecutors.</w:t>
      </w:r>
    </w:p>
    <w:p>
      <w:pPr>
        <w:pStyle w:val="ListParagraph"/>
        <w:numPr>
          <w:ilvl w:val="0"/>
          <w:numId w:val="1"/>
        </w:numPr>
        <w:spacing w:after="80"/>
      </w:pPr>
      <w:r>
        <w:t xml:space="preserve">Distinguish permissible presidential policy direction from improper intervention in individual cases.</w:t>
      </w:r>
    </w:p>
    <w:p>
      <w:pPr>
        <w:pStyle w:val="ListParagraph"/>
        <w:numPr>
          <w:ilvl w:val="0"/>
          <w:numId w:val="1"/>
        </w:numPr>
        <w:spacing w:after="80"/>
      </w:pPr>
      <w:r>
        <w:t xml:space="preserve">Identify Department of Justice policies on White House contacts, election-year sensitivities, and public comment on investigations.</w:t>
      </w:r>
    </w:p>
    <w:p>
      <w:pPr>
        <w:pStyle w:val="ListParagraph"/>
        <w:numPr>
          <w:ilvl w:val="0"/>
          <w:numId w:val="1"/>
        </w:numPr>
        <w:spacing w:after="80"/>
      </w:pPr>
      <w:r>
        <w:t xml:space="preserve">Apply the Rules of Professional Conduct to government lawyers' statements and to prosecutors' exercise of discretion.</w:t>
      </w:r>
    </w:p>
    <w:p>
      <w:pPr>
        <w:pStyle w:val="ListParagraph"/>
        <w:numPr>
          <w:ilvl w:val="0"/>
          <w:numId w:val="1"/>
        </w:numPr>
        <w:spacing w:after="80"/>
      </w:pPr>
      <w:r>
        <w:t xml:space="preserve">Explain how</w:t>
      </w:r>
      <w:r>
        <w:rPr>
          <w:i/>
          <w:iCs/>
        </w:rPr>
        <w:t xml:space="preserve">Trump v. United States</w:t>
      </w:r>
      <w:r>
        <w:t xml:space="preserve">and later decisions have affected the legal and normative framework for prosecutorial independence.</w:t>
      </w:r>
    </w:p>
    <w:p>
      <w:pPr>
        <w:pStyle w:val="Heading2"/>
        <w:spacing w:after="120" w:before="240"/>
      </w:pPr>
      <w:r>
        <w:rPr>
          <w:b/>
          <w:bCs/>
        </w:rPr>
        <w:t xml:space="preserve">Structure and Removal</w:t>
      </w:r>
    </w:p>
    <w:p>
      <w:pPr>
        <w:pStyle w:val="ListParagraph"/>
        <w:numPr>
          <w:ilvl w:val="0"/>
          <w:numId w:val="1"/>
        </w:numPr>
        <w:spacing w:after="80"/>
      </w:pPr>
      <w:r>
        <w:rPr>
          <w:b/>
          <w:bCs/>
        </w:rPr>
        <w:t xml:space="preserve">Attorney General.</w:t>
      </w:r>
      <w:r>
        <w:t xml:space="preserve">The Attorney General heads the Department of Justice (28 U.S.C. § 503) and is appointed by the President with the Senate's advice and consent, serving at the President's pleasure.</w:t>
      </w:r>
    </w:p>
    <w:p>
      <w:pPr>
        <w:pStyle w:val="ListParagraph"/>
        <w:numPr>
          <w:ilvl w:val="0"/>
          <w:numId w:val="1"/>
        </w:numPr>
        <w:spacing w:after="80"/>
      </w:pPr>
      <w:r>
        <w:rPr>
          <w:b/>
          <w:bCs/>
        </w:rPr>
        <w:t xml:space="preserve">U.S. Attorneys.</w:t>
      </w:r>
      <w:r>
        <w:t xml:space="preserve">U.S. Attorneys are appointed by the President with Senate confirmation for four-year terms and are "subject to removal by the President." 28 U.S.C. § 541. Interim appointments are governed by 28 U.S.C. § 546 and the Federal Vacancies Reform Act, 5 U.S.C. § 3345 et seq. Courts have invalidated several recent interim appointments.</w:t>
      </w:r>
    </w:p>
    <w:p>
      <w:pPr>
        <w:pStyle w:val="ListParagraph"/>
        <w:numPr>
          <w:ilvl w:val="0"/>
          <w:numId w:val="1"/>
        </w:numPr>
        <w:spacing w:after="80"/>
      </w:pPr>
      <w:r>
        <w:rPr>
          <w:b/>
          <w:bCs/>
        </w:rPr>
        <w:t xml:space="preserve">Assistant U.S. Attorneys</w:t>
      </w:r>
      <w:r>
        <w:t xml:space="preserve">are appointed and removable by the Attorney General. 28 U.S.C. § 542. Career attorneys have limited civil service protections and may appeal certain adverse actions to the Merit Systems Protection Board.</w:t>
      </w:r>
    </w:p>
    <w:p>
      <w:pPr>
        <w:pStyle w:val="ListParagraph"/>
        <w:numPr>
          <w:ilvl w:val="0"/>
          <w:numId w:val="1"/>
        </w:numPr>
        <w:spacing w:after="80"/>
      </w:pPr>
      <w:r>
        <w:rPr>
          <w:b/>
          <w:bCs/>
        </w:rPr>
        <w:t xml:space="preserve">Presidential policy role.</w:t>
      </w:r>
      <w:r>
        <w:t xml:space="preserve">See Barack Obama,</w:t>
      </w:r>
      <w:r>
        <w:rPr>
          <w:i/>
          <w:iCs/>
        </w:rPr>
        <w:t xml:space="preserve">The President's Role in Advancing Criminal Justice Reform</w:t>
      </w:r>
      <w:r>
        <w:t xml:space="preserve">, 130 Harv. L. Rev. 811 (2017).</w:t>
      </w:r>
    </w:p>
    <w:p>
      <w:pPr>
        <w:pStyle w:val="Heading2"/>
        <w:spacing w:after="120" w:before="240"/>
      </w:pPr>
      <w:r>
        <w:rPr>
          <w:b/>
          <w:bCs/>
        </w:rPr>
        <w:t xml:space="preserve">Department Policies</w:t>
      </w:r>
    </w:p>
    <w:p>
      <w:pPr>
        <w:pStyle w:val="ListParagraph"/>
        <w:numPr>
          <w:ilvl w:val="0"/>
          <w:numId w:val="1"/>
        </w:numPr>
        <w:spacing w:after="80"/>
      </w:pPr>
      <w:r>
        <w:rPr>
          <w:b/>
          <w:bCs/>
        </w:rPr>
        <w:t xml:space="preserve">White House contacts.</w:t>
      </w:r>
      <w:r>
        <w:t xml:space="preserve">Attorney General memoranda issued by successive administrations (e.g., 2007, 2009, and 2021) limit communications between the White House and the Department about pending or contemplated investigations and cases to specified senior officials, and only when appropriate from a law enforcement perspective.</w:t>
      </w:r>
    </w:p>
    <w:p>
      <w:pPr>
        <w:pStyle w:val="ListParagraph"/>
        <w:numPr>
          <w:ilvl w:val="0"/>
          <w:numId w:val="1"/>
        </w:numPr>
        <w:spacing w:after="80"/>
      </w:pPr>
      <w:r>
        <w:rPr>
          <w:b/>
          <w:bCs/>
        </w:rPr>
        <w:t xml:space="preserve">Principles of Federal Prosecution.</w:t>
      </w:r>
      <w:r>
        <w:t xml:space="preserve">Justice Manual § 9-27.260 bars considering a person's political association, activities, or beliefs, or the prosecutor's own personal or professional advantage, in charging decisions.</w:t>
      </w:r>
    </w:p>
    <w:p>
      <w:pPr>
        <w:pStyle w:val="ListParagraph"/>
        <w:numPr>
          <w:ilvl w:val="0"/>
          <w:numId w:val="1"/>
        </w:numPr>
        <w:spacing w:after="80"/>
      </w:pPr>
      <w:r>
        <w:rPr>
          <w:b/>
          <w:bCs/>
        </w:rPr>
        <w:t xml:space="preserve">Election year sensitivities.</w:t>
      </w:r>
      <w:r>
        <w:t xml:space="preserve">Justice Manual § 9-85.500 and longstanding practice, sometimes called the "60-day rule," caution against overt investigative steps or charges that could affect an election. In November 2020, Attorney General Barr authorized prosecutors to pursue "substantial allegations" of voting irregularities before certification, departing from prior practice. The director of the Election Crimes Branch stepped down from that post in response. On December 1, 2020, Barr said the Department had not found fraud on a scale that could have changed the outcome.</w:t>
      </w:r>
    </w:p>
    <w:p>
      <w:pPr>
        <w:pStyle w:val="ListParagraph"/>
        <w:numPr>
          <w:ilvl w:val="0"/>
          <w:numId w:val="1"/>
        </w:numPr>
        <w:spacing w:after="80"/>
      </w:pPr>
      <w:r>
        <w:rPr>
          <w:b/>
          <w:bCs/>
        </w:rPr>
        <w:t xml:space="preserve">Confidentiality.</w:t>
      </w:r>
      <w:r>
        <w:t xml:space="preserve">The Department generally does not confirm or deny the existence of investigations (Justice Manual § 1-7.400), and Federal Rule of Criminal Procedure 6(e) protects grand jury secrecy.</w:t>
      </w:r>
    </w:p>
    <w:p>
      <w:pPr>
        <w:pStyle w:val="Heading2"/>
        <w:spacing w:after="120" w:before="240"/>
      </w:pPr>
      <w:r>
        <w:rPr>
          <w:b/>
          <w:bCs/>
        </w:rPr>
        <w:t xml:space="preserve">Special Prosecutors and Special Counsels</w:t>
      </w:r>
    </w:p>
    <w:p>
      <w:pPr>
        <w:pStyle w:val="ListParagraph"/>
        <w:numPr>
          <w:ilvl w:val="0"/>
          <w:numId w:val="1"/>
        </w:numPr>
        <w:spacing w:after="80"/>
      </w:pPr>
      <w:r>
        <w:rPr>
          <w:b/>
          <w:bCs/>
        </w:rPr>
        <w:t xml:space="preserve">Saturday Night Massacre (Oct. 20, 1973).</w:t>
      </w:r>
      <w:r>
        <w:t xml:space="preserve">Attorney General Elliot Richardson and Deputy Attorney General William Ruckelshaus left office rather than fire Watergate Special Prosecutor Archibald Cox, and Solicitor General Robert Bork, as acting Attorney General, carried out the firing. A court later held the firing violated the governing regulation.</w:t>
      </w:r>
      <w:r>
        <w:rPr>
          <w:i/>
          <w:iCs/>
        </w:rPr>
        <w:t xml:space="preserve">Nader v. Bork</w:t>
      </w:r>
      <w:r>
        <w:t xml:space="preserve">, 366 F. Supp. 104 (D.D.C. 1973). Leon Jaworski was appointed to continue the investigation.</w:t>
      </w:r>
    </w:p>
    <w:p>
      <w:pPr>
        <w:pStyle w:val="ListParagraph"/>
        <w:numPr>
          <w:ilvl w:val="0"/>
          <w:numId w:val="1"/>
        </w:numPr>
        <w:spacing w:after="80"/>
      </w:pPr>
      <w:r>
        <w:rPr>
          <w:b/>
          <w:bCs/>
        </w:rPr>
        <w:t xml:space="preserve">Independent counsel.</w:t>
      </w:r>
      <w:r>
        <w:t xml:space="preserve">The Ethics in Government Act's independent counsel provisions were upheld in</w:t>
      </w:r>
      <w:r>
        <w:rPr>
          <w:i/>
          <w:iCs/>
        </w:rPr>
        <w:t xml:space="preserve">Morrison v. Olson</w:t>
      </w:r>
      <w:r>
        <w:t xml:space="preserve">, 487 U.S. 654 (1988), over Justice Scalia's dissent, and expired in 1999.</w:t>
      </w:r>
    </w:p>
    <w:p>
      <w:pPr>
        <w:pStyle w:val="ListParagraph"/>
        <w:numPr>
          <w:ilvl w:val="0"/>
          <w:numId w:val="1"/>
        </w:numPr>
        <w:spacing w:after="80"/>
      </w:pPr>
      <w:r>
        <w:rPr>
          <w:b/>
          <w:bCs/>
        </w:rPr>
        <w:t xml:space="preserve">Special counsel regulations.</w:t>
      </w:r>
      <w:r>
        <w:t xml:space="preserve">Under 28 C.F.R. Part 600, the Attorney General appoints a special counsel from outside the government, who may be removed only by the Attorney General for "misconduct, dereliction of duty, incapacity, conflict of interest, or for other good cause." § 600.7(d).</w:t>
      </w:r>
    </w:p>
    <w:p>
      <w:pPr>
        <w:pStyle w:val="ListParagraph"/>
        <w:numPr>
          <w:ilvl w:val="0"/>
          <w:numId w:val="1"/>
        </w:numPr>
        <w:spacing w:after="80"/>
      </w:pPr>
      <w:r>
        <w:rPr>
          <w:b/>
          <w:bCs/>
        </w:rPr>
        <w:t xml:space="preserve">Indictment of a sitting President.</w:t>
      </w:r>
      <w:r>
        <w:t xml:space="preserve">Office of Legal Counsel opinions (1973 and 2000) conclude that a sitting President may not be indicted. The Mueller report declined to make a traditional prosecutorial judgment on obstruction for that reason.</w:t>
      </w:r>
    </w:p>
    <w:p>
      <w:pPr>
        <w:pStyle w:val="Heading2"/>
        <w:spacing w:after="120" w:before="240"/>
      </w:pPr>
      <w:r>
        <w:rPr>
          <w:b/>
          <w:bCs/>
        </w:rPr>
        <w:t xml:space="preserve">Case Studies</w:t>
      </w:r>
    </w:p>
    <w:p>
      <w:pPr>
        <w:pStyle w:val="ListParagraph"/>
        <w:numPr>
          <w:ilvl w:val="0"/>
          <w:numId w:val="1"/>
        </w:numPr>
        <w:spacing w:after="80"/>
      </w:pPr>
      <w:r>
        <w:rPr>
          <w:b/>
          <w:bCs/>
        </w:rPr>
        <w:t xml:space="preserve">Mueller report (2019).</w:t>
      </w:r>
      <w:r>
        <w:t xml:space="preserve">Attorney General Barr's March 24, 2019 letter summarized the principal conclusions and stated that the evidence was insufficient to establish obstruction. Special Counsel Mueller wrote that the summary "did not fully capture the context, nature, and substance" of the work. In FOIA litigation, Judge Reggie Walton later described Barr's public characterizations as "distorted" and "misleading" and questioned the Department's candor.</w:t>
      </w:r>
      <w:r>
        <w:rPr>
          <w:i/>
          <w:iCs/>
        </w:rPr>
        <w:t xml:space="preserve">Electronic Privacy Information Center v. U.S. Department of Justice</w:t>
      </w:r>
      <w:r>
        <w:t xml:space="preserve">, 442 F. Supp. 3d 37 (D.D.C. 2020).</w:t>
      </w:r>
    </w:p>
    <w:p>
      <w:pPr>
        <w:pStyle w:val="ListParagraph"/>
        <w:numPr>
          <w:ilvl w:val="0"/>
          <w:numId w:val="1"/>
        </w:numPr>
        <w:spacing w:after="80"/>
      </w:pPr>
      <w:r>
        <w:rPr>
          <w:b/>
          <w:bCs/>
        </w:rPr>
        <w:t xml:space="preserve">&lt;em&gt;United States v. Stone&lt;/em&gt; (D.D.C.).</w:t>
      </w:r>
      <w:r>
        <w:t xml:space="preserve">After the President criticized the sentencing recommendation, Department leadership filed a revised, lower recommendation in February 2020. All four trial prosecutors withdrew from the case, and one resigned from the Department. Stone was sentenced to 40 months. The President commuted the sentence in July 2020 and pardoned Stone in December 2020.</w:t>
      </w:r>
    </w:p>
    <w:p>
      <w:pPr>
        <w:pStyle w:val="ListParagraph"/>
        <w:numPr>
          <w:ilvl w:val="0"/>
          <w:numId w:val="1"/>
        </w:numPr>
        <w:spacing w:after="80"/>
      </w:pPr>
      <w:r>
        <w:rPr>
          <w:b/>
          <w:bCs/>
        </w:rPr>
        <w:t xml:space="preserve">&lt;em&gt;United States v. Flynn&lt;/em&gt; (D.D.C.).</w:t>
      </w:r>
      <w:r>
        <w:t xml:space="preserve">Flynn pleaded guilty in 2017 to making false statements to the FBI and reaffirmed the plea in 2018. In May 2020, the Department moved to dismiss under Federal Rule of Criminal Procedure 48(a), which requires "leave of court." See</w:t>
      </w:r>
      <w:r>
        <w:rPr>
          <w:i/>
          <w:iCs/>
        </w:rPr>
        <w:t xml:space="preserve">Rinaldi v. United States</w:t>
      </w:r>
      <w:r>
        <w:t xml:space="preserve">, 434 U.S. 22 (1977). Judge Sullivan appointed former Judge John Gleeson as amicus curiae. The en banc D.C. Circuit denied mandamus, leaving the judge free to consider the motion.</w:t>
      </w:r>
      <w:r>
        <w:rPr>
          <w:i/>
          <w:iCs/>
        </w:rPr>
        <w:t xml:space="preserve">In re Flynn</w:t>
      </w:r>
      <w:r>
        <w:t xml:space="preserve">, 973 F.3d 74 (D.C. Cir. 2020) (en banc). The President pardoned Flynn in November 2020, and the case was dismissed as moot.</w:t>
      </w:r>
    </w:p>
    <w:p>
      <w:pPr>
        <w:pStyle w:val="ListParagraph"/>
        <w:numPr>
          <w:ilvl w:val="0"/>
          <w:numId w:val="1"/>
        </w:numPr>
        <w:spacing w:after="80"/>
      </w:pPr>
      <w:r>
        <w:rPr>
          <w:b/>
          <w:bCs/>
        </w:rPr>
        <w:t xml:space="preserve">Senator Ted Stevens (2009).</w:t>
      </w:r>
      <w:r>
        <w:t xml:space="preserve">The Department moved to set aside Stevens's conviction and dismiss the indictment after discovering that prosecutors had failed to disclose exculpatory evidence.</w:t>
      </w:r>
    </w:p>
    <w:p>
      <w:pPr>
        <w:pStyle w:val="Heading2"/>
        <w:spacing w:after="120" w:before="240"/>
      </w:pPr>
      <w:r>
        <w:rPr>
          <w:b/>
          <w:bCs/>
        </w:rPr>
        <w:t xml:space="preserve">Ethical Duties of Government Lawyers</w:t>
      </w:r>
    </w:p>
    <w:p>
      <w:pPr>
        <w:pStyle w:val="ListParagraph"/>
        <w:numPr>
          <w:ilvl w:val="0"/>
          <w:numId w:val="1"/>
        </w:numPr>
        <w:spacing w:after="80"/>
      </w:pPr>
      <w:r>
        <w:rPr>
          <w:b/>
          <w:bCs/>
        </w:rPr>
        <w:t xml:space="preserve">Honesty.</w:t>
      </w:r>
      <w:r>
        <w:t xml:space="preserve">Model Rule 8.4(c) prohibits conduct involving dishonesty, fraud, deceit, or misrepresentation, and Rule 4.1 prohibits knowingly false statements of material fact to third persons in the course of representing a client.</w:t>
      </w:r>
    </w:p>
    <w:p>
      <w:pPr>
        <w:pStyle w:val="ListParagraph"/>
        <w:numPr>
          <w:ilvl w:val="0"/>
          <w:numId w:val="1"/>
        </w:numPr>
        <w:spacing w:after="80"/>
      </w:pPr>
      <w:r>
        <w:rPr>
          <w:b/>
          <w:bCs/>
        </w:rPr>
        <w:t xml:space="preserve">Special responsibilities of prosecutors.</w:t>
      </w:r>
      <w:r>
        <w:t xml:space="preserve">Model Rule 3.8 requires, among other things, probable cause for charges, timely disclosure of exculpatory information, and restraint in extrajudicial statements that heighten public condemnation of the accused.</w:t>
      </w:r>
    </w:p>
    <w:p>
      <w:pPr>
        <w:pStyle w:val="ListParagraph"/>
        <w:numPr>
          <w:ilvl w:val="0"/>
          <w:numId w:val="1"/>
        </w:numPr>
        <w:spacing w:after="80"/>
      </w:pPr>
      <w:r>
        <w:rPr>
          <w:b/>
          <w:bCs/>
        </w:rPr>
        <w:t xml:space="preserve">Who is the client?</w:t>
      </w:r>
      <w:r>
        <w:t xml:space="preserve">Government lawyers are generally understood to serve the public interest and the government entity, not the personal or political interests of an officeholder. See Model Rule 1.13 cmt. [9].</w:t>
      </w:r>
    </w:p>
    <w:p>
      <w:pPr>
        <w:pStyle w:val="ListParagraph"/>
        <w:numPr>
          <w:ilvl w:val="0"/>
          <w:numId w:val="1"/>
        </w:numPr>
        <w:spacing w:after="80"/>
      </w:pPr>
      <w:r>
        <w:rPr>
          <w:b/>
          <w:bCs/>
        </w:rPr>
        <w:t xml:space="preserve">Bar complaints.</w:t>
      </w:r>
      <w:r>
        <w:t xml:space="preserve">In 2021, a group of prominent lawyers, including former D.C. Bar presidents, filed a disciplinary complaint with the D.C. Bar against former Attorney General Barr based in part on his characterization of the Mueller report.</w:t>
      </w:r>
    </w:p>
    <w:p>
      <w:pPr>
        <w:pStyle w:val="Heading2"/>
        <w:spacing w:after="120" w:before="240"/>
      </w:pPr>
      <w:r>
        <w:rPr>
          <w:b/>
          <w:bCs/>
        </w:rPr>
        <w:t xml:space="preserve">Developments to Know</w:t>
      </w:r>
    </w:p>
    <w:p>
      <w:pPr>
        <w:pStyle w:val="ListParagraph"/>
        <w:numPr>
          <w:ilvl w:val="0"/>
          <w:numId w:val="1"/>
        </w:numPr>
        <w:spacing w:after="80"/>
      </w:pPr>
      <w:r>
        <w:rPr>
          <w:b/>
          <w:bCs/>
        </w:rPr>
        <w:t xml:space="preserve">&lt;em&gt;Trump v. United States&lt;/em&gt;, 603 U.S. 593 (2024).</w:t>
      </w:r>
      <w:r>
        <w:t xml:space="preserve">The Court held that the President has "conclusive and preclusive" authority over the investigative and prosecutorial functions of the Justice Department and is absolutely immune from criminal prosecution for discussions with Department officials about potential investigations and prosecutions.</w:t>
      </w:r>
    </w:p>
    <w:p>
      <w:pPr>
        <w:pStyle w:val="ListParagraph"/>
        <w:numPr>
          <w:ilvl w:val="0"/>
          <w:numId w:val="1"/>
        </w:numPr>
        <w:spacing w:after="80"/>
      </w:pPr>
      <w:r>
        <w:rPr>
          <w:b/>
          <w:bCs/>
        </w:rPr>
        <w:t xml:space="preserve">&lt;em&gt;Trump v. Slaughter&lt;/em&gt; (June 29, 2026).</w:t>
      </w:r>
      <w:r>
        <w:t xml:space="preserve">By a 6–3 vote, the Court overruled</w:t>
      </w:r>
      <w:r>
        <w:rPr>
          <w:i/>
          <w:iCs/>
        </w:rPr>
        <w:t xml:space="preserve">Humphrey's Executor v. United States</w:t>
      </w:r>
      <w:r>
        <w:t xml:space="preserve">(1935) and upheld the President's removal of an FTC commissioner, reinforcing presidential control over executive officers.</w:t>
      </w:r>
    </w:p>
    <w:p>
      <w:pPr>
        <w:pStyle w:val="ListParagraph"/>
        <w:numPr>
          <w:ilvl w:val="0"/>
          <w:numId w:val="1"/>
        </w:numPr>
        <w:spacing w:after="80"/>
      </w:pPr>
      <w:r>
        <w:rPr>
          <w:b/>
          <w:bCs/>
        </w:rPr>
        <w:t xml:space="preserve">Special counsel prosecutions.</w:t>
      </w:r>
      <w:r>
        <w:t xml:space="preserve">After Special Counsel Jack Smith's appointment in 2022, the classified documents case was dismissed on Appointments Clause grounds in July 2024, and the Department ended both federal prosecutions of President-elect Trump in November 2024. On January 20, 2025, the President granted clemency to about 1,500 people charged in connection with January 6, 2021.</w:t>
      </w:r>
    </w:p>
    <w:p>
      <w:pPr>
        <w:pStyle w:val="ListParagraph"/>
        <w:numPr>
          <w:ilvl w:val="0"/>
          <w:numId w:val="1"/>
        </w:numPr>
        <w:spacing w:after="80"/>
      </w:pPr>
      <w:r>
        <w:rPr>
          <w:b/>
          <w:bCs/>
        </w:rPr>
        <w:t xml:space="preserve">Second-term Department of Justice.</w:t>
      </w:r>
      <w:r>
        <w:t xml:space="preserve">In 2025, the Attorney General established a "Weaponization Working Group," and the Department dismissed or reassigned career prosecutors who had worked on investigations of the President. In February 2025, Department leadership directed dismissal of the corruption case against Mayor Eric Adams. The acting U.S. Attorney for the Southern District of New York and several senior prosecutors resigned rather than file the motion, and in April 2025 Judge Dale Ho dismissed the case with prejudice.</w:t>
      </w:r>
    </w:p>
    <w:p>
      <w:pPr>
        <w:pStyle w:val="ListParagraph"/>
        <w:numPr>
          <w:ilvl w:val="0"/>
          <w:numId w:val="1"/>
        </w:numPr>
        <w:spacing w:after="80"/>
      </w:pPr>
      <w:r>
        <w:rPr>
          <w:b/>
          <w:bCs/>
        </w:rPr>
        <w:t xml:space="preserve">Prosecutions of presidential critics.</w:t>
      </w:r>
      <w:r>
        <w:t xml:space="preserve">In September 2025, the President publicly urged the Attorney General to prosecute several critics. An interim U.S. Attorney in the Eastern District of Virginia then obtained indictments of former FBI Director James Comey and New York Attorney General Letitia James. On November 24, 2025, a district judge dismissed both cases on the ground that her appointment was unlawful. The government's appeal was argued in the Fourth Circuit in September 2026.</w:t>
      </w:r>
    </w:p>
    <w:p>
      <w:pPr>
        <w:pStyle w:val="ListParagraph"/>
        <w:numPr>
          <w:ilvl w:val="0"/>
          <w:numId w:val="1"/>
        </w:numPr>
        <w:spacing w:after="80"/>
      </w:pPr>
      <w:r>
        <w:rPr>
          <w:b/>
          <w:bCs/>
        </w:rPr>
        <w:t xml:space="preserve">Continuing debate.</w:t>
      </w:r>
      <w:r>
        <w:t xml:space="preserve">Proponents of the "unitary executive" view argue that the Constitution vests all prosecutorial power in the President, who is accountable to voters. Proponents of prosecutorial independence argue that fair and impartial prosecution depends on insulating individual cases from political direction, whether through norms, statutes, or professional rules. Proposals include codifying limits on White House–Department contacts and strengthening protections for special counsels and inspectors general.</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2026-09-28T18:13:14.210Z</dcterms:created>
  <dcterms:modified xsi:type="dcterms:W3CDTF">2026-09-28T18:13:14.210Z</dcterms:modified>
</cp:coreProperties>
</file>

<file path=docProps/custom.xml><?xml version="1.0" encoding="utf-8"?>
<Properties xmlns="http://schemas.openxmlformats.org/officeDocument/2006/custom-properties" xmlns:vt="http://schemas.openxmlformats.org/officeDocument/2006/docPropsVTypes"/>
</file>