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Prosecutorial Discretion: Police Killings, Sexual Abuse, and the Ethics of Charging Decisions</w:t>
      </w:r>
    </w:p>
    <w:p>
      <w:pPr>
        <w:spacing w:after="200"/>
      </w:pPr>
      <w:r>
        <w:rPr>
          <w:rFonts w:ascii="Montserrat" w:cs="Montserrat" w:eastAsia="Montserrat" w:hAnsi="Montserrat"/>
          <w:b/>
          <w:bCs/>
          <w:color w:val="E87722"/>
          <w:sz w:val="24"/>
          <w:szCs w:val="24"/>
        </w:rPr>
        <w:t>Bruce A. Green, Louis Stein Chair of Law and Director, Stein Center for Law and Ethics, Fordham University School of Law; Rebecca Roiphe, Joseph Solomon Distinguished Professor of Law, New York Law School</w:t>
      </w:r>
    </w:p>
    <w:p>
      <w:pPr>
        <w:pStyle w:val="Heading2"/>
        <w:spacing w:after="120" w:before="240"/>
      </w:pPr>
      <w:r>
        <w:rPr>
          <w:b/>
          <w:bCs/>
        </w:rPr>
        <w:t>Overview</w:t>
      </w:r>
    </w:p>
    <w:p>
      <w:pPr>
        <w:spacing w:after="160"/>
      </w:pPr>
      <w:r>
        <w:t>This program examines the scope of prosecutorial discretion and the legal and ethical standards that govern it, using two controversial matters as case studies: the Kentucky grand jury proceedings following the police killing of Breonna Taylor and the 2007–08 federal non-prosecution agreement with Jeffrey Epstein. Professors Bruce Green and Rebecca Roiphe, both former prosecutors, discuss the stages at which discretion operates, the probable-cause floor established by ABA Model Rule 3.8, the prosecutor's role before the grand jury, institutional conflicts of interest in police cases, grand jury secrecy and transparency, victims' rights under the Crime Victims' Rights Act, charging decisions in protest cases, and the limited mechanisms for holding prosecutors accountable. The program updates the discussion with developments through 2026, including the federal prosecutions arising from the Taylor raid, the Eleventh Circuit's en banc ruling in the Epstein victims' litigation, state laws assigning police-killing investigations to independent prosecutors, and recent disputes over politically influenced charging and dismissal decisions.</w:t>
      </w:r>
    </w:p>
    <w:p>
      <w:pPr>
        <w:pStyle w:val="Heading2"/>
        <w:spacing w:after="120" w:before="240"/>
      </w:pPr>
      <w:r>
        <w:rPr>
          <w:b/>
          <w:bCs/>
        </w:rPr>
        <w:t>Learning Objectives</w:t>
      </w:r>
    </w:p>
    <w:p>
      <w:pPr>
        <w:pStyle w:val="ListParagraph"/>
        <w:numPr>
          <w:ilvl w:val="0"/>
          <w:numId w:val="1"/>
        </w:numPr>
        <w:spacing w:after="80"/>
      </w:pPr>
      <w:r>
        <w:t>Identify the stages of a criminal case at which prosecutors exercise discretion and the ethical minimum for charging under ABA Model Rule 3.8(a).</w:t>
      </w:r>
    </w:p>
    <w:p>
      <w:pPr>
        <w:pStyle w:val="ListParagraph"/>
        <w:numPr>
          <w:ilvl w:val="0"/>
          <w:numId w:val="1"/>
        </w:numPr>
        <w:spacing w:after="80"/>
      </w:pPr>
      <w:r>
        <w:t>Analyze the prosecutor's role in grand jury proceedings, including the limits of a "neutral" presentation and the tension between grand jury secrecy and public accountability.</w:t>
      </w:r>
    </w:p>
    <w:p>
      <w:pPr>
        <w:pStyle w:val="ListParagraph"/>
        <w:numPr>
          <w:ilvl w:val="0"/>
          <w:numId w:val="1"/>
        </w:numPr>
        <w:spacing w:after="80"/>
      </w:pPr>
      <w:r>
        <w:t>Evaluate institutional conflicts of interest when local prosecutors handle cases against police officers and the statutory responses adopted in New York and California.</w:t>
      </w:r>
    </w:p>
    <w:p>
      <w:pPr>
        <w:pStyle w:val="ListParagraph"/>
        <w:numPr>
          <w:ilvl w:val="0"/>
          <w:numId w:val="1"/>
        </w:numPr>
        <w:spacing w:after="80"/>
      </w:pPr>
      <w:r>
        <w:t>Explain victims' rights under the Crime Victims' Rights Act, 18 U.S.C. § 3771, and the Eleventh Circuit's holding that the Act does not apply before charges are filed.</w:t>
      </w:r>
    </w:p>
    <w:p>
      <w:pPr>
        <w:pStyle w:val="ListParagraph"/>
        <w:numPr>
          <w:ilvl w:val="0"/>
          <w:numId w:val="1"/>
        </w:numPr>
        <w:spacing w:after="80"/>
      </w:pPr>
      <w:r>
        <w:t>Assess the mechanisms available to check abuses of prosecutorial discretion, including professional discipline, judicial oversight, and elections.</w:t>
      </w:r>
    </w:p>
    <w:p>
      <w:pPr>
        <w:pStyle w:val="Heading2"/>
        <w:spacing w:after="120" w:before="240"/>
      </w:pPr>
      <w:r>
        <w:rPr>
          <w:b/>
          <w:bCs/>
        </w:rPr>
        <w:t>The Scope of Prosecutorial Discretion</w:t>
      </w:r>
    </w:p>
    <w:p>
      <w:pPr>
        <w:pStyle w:val="ListParagraph"/>
        <w:numPr>
          <w:ilvl w:val="0"/>
          <w:numId w:val="1"/>
        </w:numPr>
        <w:spacing w:after="80"/>
      </w:pPr>
      <w:r>
        <w:t>Discretion operates at every stage: whether to investigate, whether and what to charge, plea offers, sentencing recommendations, and trial tactics. Robert H. Jackson, The Federal Prosecutor (1940), remains the touchstone description of this power.</w:t>
      </w:r>
    </w:p>
    <w:p>
      <w:pPr>
        <w:pStyle w:val="ListParagraph"/>
        <w:numPr>
          <w:ilvl w:val="0"/>
          <w:numId w:val="1"/>
        </w:numPr>
        <w:spacing w:after="80"/>
      </w:pPr>
      <w:r>
        <w:t>ABA Model Rule 3.8(a) prohibits prosecuting a charge the prosecutor knows is not supported by probable cause. The ABA Criminal Justice Standards for the Prosecution Function (4th ed.) identify factors relevant to charging but leave the decision to the prosecutor.</w:t>
      </w:r>
    </w:p>
    <w:p>
      <w:pPr>
        <w:pStyle w:val="ListParagraph"/>
        <w:numPr>
          <w:ilvl w:val="0"/>
          <w:numId w:val="1"/>
        </w:numPr>
        <w:spacing w:after="80"/>
      </w:pPr>
      <w:r>
        <w:t>Prosecutors have no duty to charge every provable case. Declination decisions are generally unreviewable, and the separation of powers limits judicial supervision of charging choices. See United States v. Armstrong, 517 U.S. 456 (1996) (selective prosecution claims require demonstrable discriminatory effect and purpose).</w:t>
      </w:r>
    </w:p>
    <w:p>
      <w:pPr>
        <w:pStyle w:val="Heading2"/>
        <w:spacing w:after="120" w:before="240"/>
      </w:pPr>
      <w:r>
        <w:rPr>
          <w:b/>
          <w:bCs/>
        </w:rPr>
        <w:t>The Breonna Taylor Case and the Grand Jury</w:t>
      </w:r>
    </w:p>
    <w:p>
      <w:pPr>
        <w:pStyle w:val="ListParagraph"/>
        <w:numPr>
          <w:ilvl w:val="0"/>
          <w:numId w:val="1"/>
        </w:numPr>
        <w:spacing w:after="80"/>
      </w:pPr>
      <w:r>
        <w:t>In March 2020, Louisville police executing a search warrant at Taylor's apartment fired into it after her boyfriend fired a shot; Taylor was killed. Kentucky Attorney General Daniel Cameron, acting as special prosecutor, presented the matter to a grand jury that returned only wanton endangerment charges against one officer, Brett Hankison, for shots fired into a neighboring apartment.</w:t>
      </w:r>
    </w:p>
    <w:p>
      <w:pPr>
        <w:pStyle w:val="ListParagraph"/>
        <w:numPr>
          <w:ilvl w:val="0"/>
          <w:numId w:val="1"/>
        </w:numPr>
        <w:spacing w:after="80"/>
      </w:pPr>
      <w:r>
        <w:t>Prosecutors serve as the grand jury's legal advisors; the charges presented and the framing of the evidence inevitably shape the outcome. Professor Roiphe argues that Cameron misled the public by describing the grand jury as an independent check when no homicide charges were presented. In October 2020 a Kentucky judge permitted grand jurors to speak publicly, and they confirmed that homicide charges had not been offered.</w:t>
      </w:r>
    </w:p>
    <w:p>
      <w:pPr>
        <w:pStyle w:val="ListParagraph"/>
        <w:numPr>
          <w:ilvl w:val="0"/>
          <w:numId w:val="1"/>
        </w:numPr>
        <w:spacing w:after="80"/>
      </w:pPr>
      <w:r>
        <w:t>Local prosecutors depend on police as investigators and witnesses, creating an institutional conflict in cases against officers. Responses include special prosecutors, state attorney general jurisdiction, and independent investigative agencies.</w:t>
      </w:r>
    </w:p>
    <w:p>
      <w:pPr>
        <w:pStyle w:val="ListParagraph"/>
        <w:numPr>
          <w:ilvl w:val="0"/>
          <w:numId w:val="1"/>
        </w:numPr>
        <w:spacing w:after="80"/>
      </w:pPr>
      <w:r>
        <w:t>The Freddie Gray prosecutions in Baltimore (2015–16), which produced acquittals and dropped charges, illustrate the risks of charging cases unlikely to result in conviction. Baltimore State's Attorney Marilyn Mosby was later convicted of perjury and mortgage fraud in unrelated matters and sentenced in 2024.</w:t>
      </w:r>
    </w:p>
    <w:p>
      <w:pPr>
        <w:pStyle w:val="Heading2"/>
        <w:spacing w:after="120" w:before="240"/>
      </w:pPr>
      <w:r>
        <w:rPr>
          <w:b/>
          <w:bCs/>
        </w:rPr>
        <w:t>Protest Prosecutions and Charging Philosophies</w:t>
      </w:r>
    </w:p>
    <w:p>
      <w:pPr>
        <w:pStyle w:val="ListParagraph"/>
        <w:numPr>
          <w:ilvl w:val="0"/>
          <w:numId w:val="1"/>
        </w:numPr>
        <w:spacing w:after="80"/>
      </w:pPr>
      <w:r>
        <w:t>During the 2020 protests, the Department of Justice brought unusual federal charges against protesters while some elected district attorneys declined categories of low-level cases. The breadth of federal criminal law and the risk of overcharging raise proportionality concerns.</w:t>
      </w:r>
    </w:p>
    <w:p>
      <w:pPr>
        <w:pStyle w:val="ListParagraph"/>
        <w:numPr>
          <w:ilvl w:val="0"/>
          <w:numId w:val="1"/>
        </w:numPr>
        <w:spacing w:after="80"/>
      </w:pPr>
      <w:r>
        <w:t>Prosecutors increasingly run for office on their charging philosophies; voters have responded in both directions, including the 2022 recall of San Francisco District Attorney Chesa Boudin and the 2024 defeat of Los Angeles District Attorney George Gascón.</w:t>
      </w:r>
    </w:p>
    <w:p>
      <w:pPr>
        <w:pStyle w:val="Heading2"/>
        <w:spacing w:after="120" w:before="240"/>
      </w:pPr>
      <w:r>
        <w:rPr>
          <w:b/>
          <w:bCs/>
        </w:rPr>
        <w:t>The Epstein Non-Prosecution Agreement and Victims' Rights</w:t>
      </w:r>
    </w:p>
    <w:p>
      <w:pPr>
        <w:pStyle w:val="ListParagraph"/>
        <w:numPr>
          <w:ilvl w:val="0"/>
          <w:numId w:val="1"/>
        </w:numPr>
        <w:spacing w:after="80"/>
      </w:pPr>
      <w:r>
        <w:t>In 2007–08, the U.S. Attorney's Office for the Southern District of Florida set aside a drafted federal indictment of Jeffrey Epstein in favor of a non-prosecution agreement under which Epstein pleaded guilty to state solicitation charges and served about 13 months with work release. Victims were not consulted.</w:t>
      </w:r>
    </w:p>
    <w:p>
      <w:pPr>
        <w:pStyle w:val="ListParagraph"/>
        <w:numPr>
          <w:ilvl w:val="0"/>
          <w:numId w:val="1"/>
        </w:numPr>
        <w:spacing w:after="80"/>
      </w:pPr>
      <w:r>
        <w:t>The Crime Victims' Rights Act, 18 U.S.C. § 3771, guarantees victims the right to confer with prosecutors and to be treated with fairness. A district court held in 2019 that the government violated the Act (Doe v. United States, 359 F. Supp. 3d 1201 (S.D. Fla. 2019)), but the en banc Eleventh Circuit held in In re Wild, 994 F.3d 1244 (11th Cir. 2021), that the Act confers no judicially enforceable rights before charges are filed, while observing that the victims appeared to have been misled.</w:t>
      </w:r>
    </w:p>
    <w:p>
      <w:pPr>
        <w:pStyle w:val="ListParagraph"/>
        <w:numPr>
          <w:ilvl w:val="0"/>
          <w:numId w:val="1"/>
        </w:numPr>
        <w:spacing w:after="80"/>
      </w:pPr>
      <w:r>
        <w:t>Epstein was indicted in the Southern District of New York in 2019 and died in custody before trial. Ghislaine Maxwell was convicted in December 2021 and sentenced to 20 years; the Supreme Court denied certiorari in October 2025 on her claim that the Florida agreement barred her prosecution.</w:t>
      </w:r>
    </w:p>
    <w:p>
      <w:pPr>
        <w:pStyle w:val="ListParagraph"/>
        <w:numPr>
          <w:ilvl w:val="0"/>
          <w:numId w:val="1"/>
        </w:numPr>
        <w:spacing w:after="80"/>
      </w:pPr>
      <w:r>
        <w:t>The Epstein Files Transparency Act (November 2025) required public release of Justice Department records relating to Epstein; the Department released more than three million pages in January 2026.</w:t>
      </w:r>
    </w:p>
    <w:p>
      <w:pPr>
        <w:pStyle w:val="Heading2"/>
        <w:spacing w:after="120" w:before="240"/>
      </w:pPr>
      <w:r>
        <w:rPr>
          <w:b/>
          <w:bCs/>
        </w:rPr>
        <w:t>Accountability for Abuses of Discretion</w:t>
      </w:r>
    </w:p>
    <w:p>
      <w:pPr>
        <w:pStyle w:val="ListParagraph"/>
        <w:numPr>
          <w:ilvl w:val="0"/>
          <w:numId w:val="1"/>
        </w:numPr>
        <w:spacing w:after="80"/>
      </w:pPr>
      <w:r>
        <w:t>Professional discipline for prosecutors is rare and typically involves disclosure violations rather than charging decisions; the disbarment of Durham District Attorney Mike Nifong in the 2007 Duke lacrosse case is the leading example.</w:t>
      </w:r>
    </w:p>
    <w:p>
      <w:pPr>
        <w:pStyle w:val="ListParagraph"/>
        <w:numPr>
          <w:ilvl w:val="0"/>
          <w:numId w:val="1"/>
        </w:numPr>
        <w:spacing w:after="80"/>
      </w:pPr>
      <w:r>
        <w:t>Courts may dismiss charges or impose sanctions in extreme cases, but charging and declination decisions are largely unreviewable; the principal check is the electoral process.</w:t>
      </w:r>
    </w:p>
    <w:p>
      <w:pPr>
        <w:pStyle w:val="ListParagraph"/>
        <w:numPr>
          <w:ilvl w:val="0"/>
          <w:numId w:val="1"/>
        </w:numPr>
        <w:spacing w:after="80"/>
      </w:pPr>
      <w:r>
        <w:t>Recent disputes highlight the limits of accountability in both directions: in April 2025, a federal judge dismissed the corruption indictment of New York City Mayor Eric Adams with prejudice after the Justice Department moved to drop the case, finding the circumstances "smack[ed] of a bargain," and in 2024–25 Georgia courts disqualified Fulton County District Attorney Fani Willis from the election-interference prosecution of Donald Trump for an appearance of impropriety, leading to the case's dismissal.</w:t>
      </w:r>
    </w:p>
    <w:p>
      <w:pPr>
        <w:pStyle w:val="Heading2"/>
        <w:spacing w:after="120" w:before="240"/>
      </w:pPr>
      <w:r>
        <w:rPr>
          <w:b/>
          <w:bCs/>
        </w:rPr>
        <w:t>Developments to Know</w:t>
      </w:r>
    </w:p>
    <w:p>
      <w:pPr>
        <w:pStyle w:val="ListParagraph"/>
        <w:numPr>
          <w:ilvl w:val="0"/>
          <w:numId w:val="1"/>
        </w:numPr>
        <w:spacing w:after="80"/>
      </w:pPr>
      <w:r>
        <w:t>Breonna Taylor federal prosecutions: Hankison was acquitted in state court in March 2022. The Justice Department charged four officers in August 2022. Hankison was convicted in November 2024 of depriving Taylor of her civil rights and sentenced in July 2025 to 33 months after federal prosecutors under the new administration recommended no prison time. Charges against former officers Joshua Jaynes and Kyle Meany for falsifying the warrant affidavit were reduced and then dismissed with prejudice on the government's motion in March 2026; former detective Kelly Goodlett pleaded guilty in 2022.</w:t>
      </w:r>
    </w:p>
    <w:p>
      <w:pPr>
        <w:pStyle w:val="ListParagraph"/>
        <w:numPr>
          <w:ilvl w:val="0"/>
          <w:numId w:val="1"/>
        </w:numPr>
        <w:spacing w:after="80"/>
      </w:pPr>
      <w:r>
        <w:t>Independent investigation of police killings: New York Executive Law § 70-b (effective April 1, 2021) gives the Attorney General's Office of Special Investigation jurisdiction over all deaths caused by police and peace officers; California AB 1506 (2021) requires the state Department of Justice to investigate fatal police shootings of unarmed civilians and to publish reports; Washington created an Office of Independent Investigations in 2021.</w:t>
      </w:r>
    </w:p>
    <w:p>
      <w:pPr>
        <w:pStyle w:val="ListParagraph"/>
        <w:numPr>
          <w:ilvl w:val="0"/>
          <w:numId w:val="1"/>
        </w:numPr>
        <w:spacing w:after="80"/>
      </w:pPr>
      <w:r>
        <w:t>Daniel Cameron served as Kentucky Attorney General until January 2024, lost the 2023 gubernatorial election, and lost the May 2026 Republican primary for U.S. Senate.</w:t>
      </w:r>
    </w:p>
    <w:p>
      <w:pPr>
        <w:pStyle w:val="ListParagraph"/>
        <w:numPr>
          <w:ilvl w:val="0"/>
          <w:numId w:val="1"/>
        </w:numPr>
        <w:spacing w:after="80"/>
      </w:pPr>
      <w:r>
        <w:t>ABA Model Rule 3.8 has not been amended since the recording; several states have considered or adopted additional post-conviction disclosure and remedial duties for prosecutors.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