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Autonomous Ships</w:t>
      </w:r>
    </w:p>
    <w:p>
      <w:pPr>
        <w:spacing w:after="200"/>
      </w:pPr>
      <w:r>
        <w:rPr>
          <w:rFonts w:ascii="Montserrat" w:cs="Montserrat" w:eastAsia="Montserrat" w:hAnsi="Montserrat"/>
          <w:b/>
          <w:bCs/>
          <w:color w:val="E87722"/>
          <w:sz w:val="24"/>
          <w:szCs w:val="24"/>
        </w:rPr>
        <w:t>Martin Davies</w:t>
      </w:r>
    </w:p>
    <w:p>
      <w:pPr>
        <w:pStyle w:val="Heading2"/>
        <w:spacing w:after="120" w:before="240"/>
      </w:pPr>
      <w:r>
        <w:rPr>
          <w:b/>
          <w:bCs/>
        </w:rPr>
        <w:t>Overview</w:t>
      </w:r>
    </w:p>
    <w:p>
      <w:pPr>
        <w:spacing w:after="160"/>
      </w:pPr>
      <w:r>
        <w:t>This program examines how remote-controlled and fully autonomous ships challenge the international and domestic law of the sea, which assumes a master and crew on board. It distinguishes remote control, crewless operation, and true autonomy; explains how the International Regulations for Preventing Collisions at Sea (COLREGs) can be encoded in software, and why the duty to depart from the rules to avoid immediate danger is hard to program; considers how fault and liability should be allocated among shipowners, operators, and software developers; and reviews the legal role of the master, the duty to render assistance at sea, the proper-lookout requirement, whether a crewless vessel is still a ship, cyber risk, and compulsory pilotage as a local regulatory barrier. Updates cover the IMO's 2026 non-mandatory MASS Code and the timeline toward a mandatory code, U.S. limitation-of-liability amendments, and new maritime cybersecurity requirements. The program supports lawyers' duty of technological competence by explaining how automation, sensors, remote operation centres, and connectivity create new legal risks for maritime clients.</w:t>
      </w:r>
    </w:p>
    <w:p>
      <w:pPr>
        <w:pStyle w:val="Heading2"/>
        <w:spacing w:after="120" w:before="240"/>
      </w:pPr>
      <w:r>
        <w:rPr>
          <w:b/>
          <w:bCs/>
        </w:rPr>
        <w:t>Learning Objectives</w:t>
      </w:r>
    </w:p>
    <w:p>
      <w:pPr>
        <w:pStyle w:val="ListParagraph"/>
        <w:numPr>
          <w:ilvl w:val="0"/>
          <w:numId w:val="1"/>
        </w:numPr>
        <w:spacing w:after="80"/>
      </w:pPr>
      <w:r>
        <w:t>Distinguish remotely controlled vessels with and without crew on board from fully autonomous vessels, and explain why the distinction matters legally.</w:t>
      </w:r>
    </w:p>
    <w:p>
      <w:pPr>
        <w:pStyle w:val="ListParagraph"/>
        <w:numPr>
          <w:ilvl w:val="0"/>
          <w:numId w:val="1"/>
        </w:numPr>
        <w:spacing w:after="80"/>
      </w:pPr>
      <w:r>
        <w:t>Analyze how COLREGs Rules 2, 5, and 8, including the duty to depart from the rules to avoid immediate danger and the duty to keep a proper lookout by all available means, apply when navigation decisions are made by software or sensors.</w:t>
      </w:r>
    </w:p>
    <w:p>
      <w:pPr>
        <w:pStyle w:val="ListParagraph"/>
        <w:numPr>
          <w:ilvl w:val="0"/>
          <w:numId w:val="1"/>
        </w:numPr>
        <w:spacing w:after="80"/>
      </w:pPr>
      <w:r>
        <w:t>Evaluate competing approaches to allocating liability for casualties involving autonomous ships among shipowners, remote operators, and software developers, including the effect of seaworthiness obligations, the nautical-fault exception, and limitation of liability.</w:t>
      </w:r>
    </w:p>
    <w:p>
      <w:pPr>
        <w:pStyle w:val="ListParagraph"/>
        <w:numPr>
          <w:ilvl w:val="0"/>
          <w:numId w:val="1"/>
        </w:numPr>
        <w:spacing w:after="80"/>
      </w:pPr>
      <w:r>
        <w:t>Explain the legal role of the master, including the duty to render assistance at sea, and assess whether a master who is not on board can satisfy existing conventions and the 2026 IMO MASS Code.</w:t>
      </w:r>
    </w:p>
    <w:p>
      <w:pPr>
        <w:pStyle w:val="ListParagraph"/>
        <w:numPr>
          <w:ilvl w:val="0"/>
          <w:numId w:val="1"/>
        </w:numPr>
        <w:spacing w:after="80"/>
      </w:pPr>
      <w:r>
        <w:t>Identify cybersecurity risks created by connected and remotely operated vessels and the regulatory responses of the IMO and the U.S. Coast Guard, as part of a lawyer's duty to understand the benefits and risks of relevant technology.</w:t>
      </w:r>
    </w:p>
    <w:p>
      <w:pPr>
        <w:pStyle w:val="ListParagraph"/>
        <w:numPr>
          <w:ilvl w:val="0"/>
          <w:numId w:val="1"/>
        </w:numPr>
        <w:spacing w:after="80"/>
      </w:pPr>
      <w:r>
        <w:t>Recognize compulsory pilotage as a locally regulated barrier to autonomous shipping in the United States and abroad.</w:t>
      </w:r>
    </w:p>
    <w:p>
      <w:pPr>
        <w:pStyle w:val="Heading2"/>
        <w:spacing w:after="120" w:before="240"/>
      </w:pPr>
      <w:r>
        <w:rPr>
          <w:b/>
          <w:bCs/>
        </w:rPr>
        <w:t>Levels of Autonomy</w:t>
      </w:r>
    </w:p>
    <w:p>
      <w:pPr>
        <w:pStyle w:val="ListParagraph"/>
        <w:numPr>
          <w:ilvl w:val="0"/>
          <w:numId w:val="1"/>
        </w:numPr>
        <w:spacing w:after="80"/>
      </w:pPr>
      <w:r>
        <w:t>The IMO's regulatory scoping exercise used four degrees of autonomy: (1) ship with automated processes and decision support, with seafarers on board; (2) remotely controlled ship with seafarers on board; (3) remotely controlled ship without seafarers on board; and (4) fully autonomous ship, whose operating system makes decisions and determines actions by itself. See IMO, Outcome of the Regulatory Scoping Exercise for the Use of Maritime Autonomous Surface Ships (MASS), MSC.1/Circ.1638 (June 3, 2021).</w:t>
      </w:r>
    </w:p>
    <w:p>
      <w:pPr>
        <w:pStyle w:val="ListParagraph"/>
        <w:numPr>
          <w:ilvl w:val="0"/>
          <w:numId w:val="1"/>
        </w:numPr>
        <w:spacing w:after="80"/>
      </w:pPr>
      <w:r>
        <w:t>IMO, Interim Guidelines for MASS Trials, MSC.1/Circ.1604 (2019). These guidelines set out how trials of autonomous and remotely operated ships should be conducted consistently with existing IMO instruments.</w:t>
      </w:r>
    </w:p>
    <w:p>
      <w:pPr>
        <w:pStyle w:val="ListParagraph"/>
        <w:numPr>
          <w:ilvl w:val="0"/>
          <w:numId w:val="1"/>
        </w:numPr>
        <w:spacing w:after="80"/>
      </w:pPr>
      <w:r>
        <w:t>Professor Davies stresses that a ship with no one on board is not necessarily autonomous, and an autonomous ship may still carry people. The legal questions differ depending on whether decisions are made by people on board, people ashore, or software.</w:t>
      </w:r>
    </w:p>
    <w:p>
      <w:pPr>
        <w:pStyle w:val="Heading2"/>
        <w:spacing w:after="120" w:before="240"/>
      </w:pPr>
      <w:r>
        <w:rPr>
          <w:b/>
          <w:bCs/>
        </w:rPr>
        <w:t>Collision Regulations and Algorithms</w:t>
      </w:r>
    </w:p>
    <w:p>
      <w:pPr>
        <w:pStyle w:val="ListParagraph"/>
        <w:numPr>
          <w:ilvl w:val="0"/>
          <w:numId w:val="1"/>
        </w:numPr>
        <w:spacing w:after="80"/>
      </w:pPr>
      <w:r>
        <w:t>Convention on the International Regulations for Preventing Collisions at Sea, 1972 (COLREGs). The COLREGs function as international rules of the road, setting out which vessel gives way in crossing, overtaking, and head-on situations. In the United States, the Inland Navigation Rules (33 C.F.R. pt. 83) apply in inland waters.</w:t>
      </w:r>
    </w:p>
    <w:p>
      <w:pPr>
        <w:pStyle w:val="ListParagraph"/>
        <w:numPr>
          <w:ilvl w:val="0"/>
          <w:numId w:val="1"/>
        </w:numPr>
        <w:spacing w:after="80"/>
      </w:pPr>
      <w:r>
        <w:t>COLREGs Rule 2 (Responsibility). Rule 2(a) provides that nothing in the rules exonerates a vessel, owner, master, or crew from the consequences of neglecting any precaution required by the ordinary practice of seamen or the special circumstances of the case. Rule 2(b) requires due regard to all dangers of navigation and collision and any special circumstances that may make a departure from the rules necessary to avoid immediate danger. This is the rule Professor Davies identifies as hardest to program.</w:t>
      </w:r>
    </w:p>
    <w:p>
      <w:pPr>
        <w:pStyle w:val="ListParagraph"/>
        <w:numPr>
          <w:ilvl w:val="0"/>
          <w:numId w:val="1"/>
        </w:numPr>
        <w:spacing w:after="80"/>
      </w:pPr>
      <w:r>
        <w:t>COLREGs Rule 8 (Action to Avoid Collision). Action to avoid collision must be positive, made in ample time, and with due regard to the observance of good seamanship. Applying this standard requires judgment about what other vessels are actually doing, including when they are not following the rules.</w:t>
      </w:r>
    </w:p>
    <w:p>
      <w:pPr>
        <w:pStyle w:val="ListParagraph"/>
        <w:numPr>
          <w:ilvl w:val="0"/>
          <w:numId w:val="1"/>
        </w:numPr>
        <w:spacing w:after="80"/>
      </w:pPr>
      <w:r>
        <w:t>The 2026 MASS Code does not amend the COLREGs. Whether software-driven navigation satisfies standards framed around "good seamanship" and "the ordinary practice of seamen" remains an open question.</w:t>
      </w:r>
    </w:p>
    <w:p>
      <w:pPr>
        <w:pStyle w:val="Heading2"/>
        <w:spacing w:after="120" w:before="240"/>
      </w:pPr>
      <w:r>
        <w:rPr>
          <w:b/>
          <w:bCs/>
        </w:rPr>
        <w:t>The Proper Lookout</w:t>
      </w:r>
    </w:p>
    <w:p>
      <w:pPr>
        <w:pStyle w:val="ListParagraph"/>
        <w:numPr>
          <w:ilvl w:val="0"/>
          <w:numId w:val="1"/>
        </w:numPr>
        <w:spacing w:after="80"/>
      </w:pPr>
      <w:r>
        <w:t>COLREGs Rule 5 (Look-out). Every vessel must at all times maintain a proper look-out by sight and hearing as well as by all available means appropriate in the prevailing circumstances and conditions, so as to make a full appraisal of the situation and of the risk of collision.</w:t>
      </w:r>
    </w:p>
    <w:p>
      <w:pPr>
        <w:pStyle w:val="ListParagraph"/>
        <w:numPr>
          <w:ilvl w:val="0"/>
          <w:numId w:val="1"/>
        </w:numPr>
        <w:spacing w:after="80"/>
      </w:pPr>
      <w:r>
        <w:t>Professor Davies explains that courts treat the lookout as a system rather than a single person, and that modern lookout already relies heavily on electronic aids such as radar and AIS. The phrase "by sight and hearing" is a central point of debate over whether cameras, microphones, and other sensors can satisfy Rule 5 on a vessel with no one on board.</w:t>
      </w:r>
    </w:p>
    <w:p>
      <w:pPr>
        <w:pStyle w:val="Heading2"/>
        <w:spacing w:after="120" w:before="240"/>
      </w:pPr>
      <w:r>
        <w:rPr>
          <w:b/>
          <w:bCs/>
        </w:rPr>
        <w:t>The Master and the Duty to Render Assistance</w:t>
      </w:r>
    </w:p>
    <w:p>
      <w:pPr>
        <w:pStyle w:val="ListParagraph"/>
        <w:numPr>
          <w:ilvl w:val="0"/>
          <w:numId w:val="1"/>
        </w:numPr>
        <w:spacing w:after="80"/>
      </w:pPr>
      <w:r>
        <w:t>United Nations Convention on the Law of the Sea (UNCLOS), art. 94. Flag states must exercise effective jurisdiction and control over their ships, including manning, and must ensure that each ship is in the charge of a master and officers who possess appropriate qualifications (art. 94(4)(b)).</w:t>
      </w:r>
    </w:p>
    <w:p>
      <w:pPr>
        <w:pStyle w:val="ListParagraph"/>
        <w:numPr>
          <w:ilvl w:val="0"/>
          <w:numId w:val="1"/>
        </w:numPr>
        <w:spacing w:after="80"/>
      </w:pPr>
      <w:r>
        <w:t>UNCLOS art. 98. Every state must require the master of a ship flying its flag, so far as the master can do so without serious danger to the ship, crew, or passengers, to render assistance to any person found at sea in danger of being lost and to proceed to the rescue of persons in distress.</w:t>
      </w:r>
    </w:p>
    <w:p>
      <w:pPr>
        <w:pStyle w:val="ListParagraph"/>
        <w:numPr>
          <w:ilvl w:val="0"/>
          <w:numId w:val="1"/>
        </w:numPr>
        <w:spacing w:after="80"/>
      </w:pPr>
      <w:r>
        <w:t>International Convention for the Safety of Life at Sea, 1974 (SOLAS), ch. V, reg. 33. The master of a ship in a position to provide assistance, on receiving information that persons are in distress at sea, is bound to proceed with all speed to their assistance. SOLAS ch. V, reg. 14 requires ships to be sufficiently and efficiently manned from the point of view of safety of life at sea.</w:t>
      </w:r>
    </w:p>
    <w:p>
      <w:pPr>
        <w:pStyle w:val="ListParagraph"/>
        <w:numPr>
          <w:ilvl w:val="0"/>
          <w:numId w:val="1"/>
        </w:numPr>
        <w:spacing w:after="80"/>
      </w:pPr>
      <w:r>
        <w:t>The master's authority and responsibilities appear throughout maritime law. Professor Davies notes the dispute over whether conventions that refer to the master and minimum crewing require those people to be physically on board.</w:t>
      </w:r>
    </w:p>
    <w:p>
      <w:pPr>
        <w:pStyle w:val="ListParagraph"/>
        <w:numPr>
          <w:ilvl w:val="0"/>
          <w:numId w:val="1"/>
        </w:numPr>
        <w:spacing w:after="80"/>
      </w:pPr>
      <w:r>
        <w:t>IMO MASS Code (adopted May 22, 2026, MSC 111). The non-mandatory code requires that a human master remain responsible for the ship. The master need not be on board but must be able to intervene. The code also addresses remote operation centres, which are subject to certification by the flag administration.</w:t>
      </w:r>
    </w:p>
    <w:p>
      <w:pPr>
        <w:pStyle w:val="Heading2"/>
        <w:spacing w:after="120" w:before="240"/>
      </w:pPr>
      <w:r>
        <w:rPr>
          <w:b/>
          <w:bCs/>
        </w:rPr>
        <w:t>Is It a Ship? Is It a Vessel?</w:t>
      </w:r>
    </w:p>
    <w:p>
      <w:pPr>
        <w:pStyle w:val="ListParagraph"/>
        <w:numPr>
          <w:ilvl w:val="0"/>
          <w:numId w:val="1"/>
        </w:numPr>
        <w:spacing w:after="80"/>
      </w:pPr>
      <w:r>
        <w:t>1 U.S.C. § 3. Under U.S. law, a "vessel" includes every description of watercraft or other artificial contrivance used, or capable of being used, as a means of transportation on water. The definition does not depend on crew or self-propulsion.</w:t>
      </w:r>
    </w:p>
    <w:p>
      <w:pPr>
        <w:pStyle w:val="ListParagraph"/>
        <w:numPr>
          <w:ilvl w:val="0"/>
          <w:numId w:val="1"/>
        </w:numPr>
        <w:spacing w:after="80"/>
      </w:pPr>
      <w:r>
        <w:t>Stewart v. Dutra Construction Co., 543 U.S. 481 (2005). A dredge with no means of self-propulsion was a vessel under 1 U.S.C. § 3 because it was practically capable of maritime transportation.</w:t>
      </w:r>
    </w:p>
    <w:p>
      <w:pPr>
        <w:pStyle w:val="ListParagraph"/>
        <w:numPr>
          <w:ilvl w:val="0"/>
          <w:numId w:val="1"/>
        </w:numPr>
        <w:spacing w:after="80"/>
      </w:pPr>
      <w:r>
        <w:t>Lozman v. City of Riviera Beach, 568 U.S. 115 (2013). A floating home was not a vessel because a reasonable observer would not consider it designed to a practical degree for carrying people or things over water.</w:t>
      </w:r>
    </w:p>
    <w:p>
      <w:pPr>
        <w:pStyle w:val="ListParagraph"/>
        <w:numPr>
          <w:ilvl w:val="0"/>
          <w:numId w:val="1"/>
        </w:numPr>
        <w:spacing w:after="80"/>
      </w:pPr>
      <w:r>
        <w:t>Professor Davies observes that unmanned, unpowered barges carry most traffic on the Mississippi River and are vessels. Most commentators therefore regard a crewless autonomous ship as a ship or vessel, although particular conventions may define "ship" differently.</w:t>
      </w:r>
    </w:p>
    <w:p>
      <w:pPr>
        <w:pStyle w:val="Heading2"/>
        <w:spacing w:after="120" w:before="240"/>
      </w:pPr>
      <w:r>
        <w:rPr>
          <w:b/>
          <w:bCs/>
        </w:rPr>
        <w:t>Liability, Seaworthiness, and Limitation</w:t>
      </w:r>
    </w:p>
    <w:p>
      <w:pPr>
        <w:pStyle w:val="ListParagraph"/>
        <w:numPr>
          <w:ilvl w:val="0"/>
          <w:numId w:val="1"/>
        </w:numPr>
        <w:spacing w:after="80"/>
      </w:pPr>
      <w:r>
        <w:t>International Convention for the Unification of Certain Rules of Law relating to Bills of Lading (Hague Rules, 1924), as amended by the Visby Protocol (1968) (Hague-Visby Rules), art. III(1). The carrier must exercise due diligence before and at the beginning of the voyage to make the ship seaworthy and properly man, equip, and supply it. Whether reliable software, sensors, connectivity, and cyber protections are part of seaworthiness is a live question for autonomous ships.</w:t>
      </w:r>
    </w:p>
    <w:p>
      <w:pPr>
        <w:pStyle w:val="ListParagraph"/>
        <w:numPr>
          <w:ilvl w:val="0"/>
          <w:numId w:val="1"/>
        </w:numPr>
        <w:spacing w:after="80"/>
      </w:pPr>
      <w:r>
        <w:t>Hague and Hague-Visby Rules art. IV(2)(a). The carrier is not liable for loss or damage arising from the act, neglect, or default of the master, mariner, pilot, or servants of the carrier in the navigation or management of the ship. It is unclear whether this nautical-fault exception would extend to errors by remote operators or software.</w:t>
      </w:r>
    </w:p>
    <w:p>
      <w:pPr>
        <w:pStyle w:val="ListParagraph"/>
        <w:numPr>
          <w:ilvl w:val="0"/>
          <w:numId w:val="1"/>
        </w:numPr>
        <w:spacing w:after="80"/>
      </w:pPr>
      <w:r>
        <w:t>U.S. Carriage of Goods by Sea Act (COGSA), 46 U.S.C. § 30701 note. COGSA applies Hague Rules standards, including due diligence to make the ship seaworthy and the nautical-fault exception, to carriage of goods to or from U.S. ports in foreign trade.</w:t>
      </w:r>
    </w:p>
    <w:p>
      <w:pPr>
        <w:pStyle w:val="ListParagraph"/>
        <w:numPr>
          <w:ilvl w:val="0"/>
          <w:numId w:val="1"/>
        </w:numPr>
        <w:spacing w:after="80"/>
      </w:pPr>
      <w:r>
        <w:t>Shipowners' Limitation of Liability Act, 46 U.S.C. ch. 305. A shipowner may limit liability to the value of the vessel and pending freight for losses incurred without the owner's privity or knowledge (46 U.S.C. § 30523). The Don Young Coast Guard Authorization Act of 2022 (Pub. L. 117-263, div. K) renumbered former §§ 30503–30512 as §§ 30521–30530 and made the chapter, except § 30526, inapplicable to covered small passenger vessels. For autonomous ships, "privity or knowledge" may turn on what the owner knew about software design, updates, and cyber vulnerabilities.</w:t>
      </w:r>
    </w:p>
    <w:p>
      <w:pPr>
        <w:pStyle w:val="ListParagraph"/>
        <w:numPr>
          <w:ilvl w:val="0"/>
          <w:numId w:val="1"/>
        </w:numPr>
        <w:spacing w:after="80"/>
      </w:pPr>
      <w:r>
        <w:t>Convention on Limitation of Liability for Maritime Claims, 1976 (LLMC), as amended by the 1996 Protocol. Shipowners may limit liability by tonnage-based amounts, but they lose that right under art. 4 if the loss resulted from their personal act or omission, committed with intent to cause the loss or recklessly and with knowledge that the loss would probably result. The United States is not a party.</w:t>
      </w:r>
    </w:p>
    <w:p>
      <w:pPr>
        <w:pStyle w:val="ListParagraph"/>
        <w:numPr>
          <w:ilvl w:val="0"/>
          <w:numId w:val="1"/>
        </w:numPr>
        <w:spacing w:after="80"/>
      </w:pPr>
      <w:r>
        <w:t>Product liability. Professor Davies notes that the IMO's scoping exercise did not address product liability for software or system malfunctions. Claims against manufacturers and software developers therefore remain governed by national law, including general maritime product liability in the United States.</w:t>
      </w:r>
    </w:p>
    <w:p>
      <w:pPr>
        <w:pStyle w:val="Heading2"/>
        <w:spacing w:after="120" w:before="240"/>
      </w:pPr>
      <w:r>
        <w:rPr>
          <w:b/>
          <w:bCs/>
        </w:rPr>
        <w:t>Cybersecurity and Piracy</w:t>
      </w:r>
    </w:p>
    <w:p>
      <w:pPr>
        <w:pStyle w:val="ListParagraph"/>
        <w:numPr>
          <w:ilvl w:val="0"/>
          <w:numId w:val="1"/>
        </w:numPr>
        <w:spacing w:after="80"/>
      </w:pPr>
      <w:r>
        <w:t>IMO Resolution MSC.428(98), Maritime Cyber Risk Management in Safety Management Systems (2017). Administrations are encouraged to ensure that cyber risks are appropriately addressed in safety management systems under the ISM Code no later than the first annual verification of a company's Document of Compliance after January 1, 2021.</w:t>
      </w:r>
    </w:p>
    <w:p>
      <w:pPr>
        <w:pStyle w:val="ListParagraph"/>
        <w:numPr>
          <w:ilvl w:val="0"/>
          <w:numId w:val="1"/>
        </w:numPr>
        <w:spacing w:after="80"/>
      </w:pPr>
      <w:r>
        <w:t>IMO, Guidelines on Maritime Cyber Risk Management, MSC-FAL.1/Circ.3 (as revised; Rev.3 approved in 2026). In May 2026, the Maritime Safety Committee approved a road map for a non-mandatory Maritime Cyber Code to be developed under the Facilitation Committee.</w:t>
      </w:r>
    </w:p>
    <w:p>
      <w:pPr>
        <w:pStyle w:val="ListParagraph"/>
        <w:numPr>
          <w:ilvl w:val="0"/>
          <w:numId w:val="1"/>
        </w:numPr>
        <w:spacing w:after="80"/>
      </w:pPr>
      <w:r>
        <w:t>U.S. Coast Guard, Cybersecurity in the Marine Transportation System, final rule (Fed. Reg. Jan. 17, 2025) (codified at 33 C.F.R. pt. 101, subpt. F). The rule took effect July 16, 2025. It requires reporting of cyber incidents, cybersecurity training, and, by July 16, 2027, cybersecurity officers, assessments, and plans for covered U.S.-flagged vessels and facilities.</w:t>
      </w:r>
    </w:p>
    <w:p>
      <w:pPr>
        <w:pStyle w:val="ListParagraph"/>
        <w:numPr>
          <w:ilvl w:val="0"/>
          <w:numId w:val="1"/>
        </w:numPr>
        <w:spacing w:after="80"/>
      </w:pPr>
      <w:r>
        <w:t>Professor Davies explains that removing controls from a vessel can defeat traditional boarding pirates but that remote connectivity creates a new risk of hackers seizing control and diverting a ship and its cargo.</w:t>
      </w:r>
    </w:p>
    <w:p>
      <w:pPr>
        <w:pStyle w:val="Heading2"/>
        <w:spacing w:after="120" w:before="240"/>
      </w:pPr>
      <w:r>
        <w:rPr>
          <w:b/>
          <w:bCs/>
        </w:rPr>
        <w:t>Pilotage</w:t>
      </w:r>
    </w:p>
    <w:p>
      <w:pPr>
        <w:pStyle w:val="ListParagraph"/>
        <w:numPr>
          <w:ilvl w:val="0"/>
          <w:numId w:val="1"/>
        </w:numPr>
        <w:spacing w:after="80"/>
      </w:pPr>
      <w:r>
        <w:t>46 U.S.C. § 8501. Except as otherwise provided by federal law, pilots in the bays, rivers, harbors, and ports of the United States are regulated by state law. States license and regulate pilots for foreign-trade (registered) vessels.</w:t>
      </w:r>
    </w:p>
    <w:p>
      <w:pPr>
        <w:pStyle w:val="ListParagraph"/>
        <w:numPr>
          <w:ilvl w:val="0"/>
          <w:numId w:val="1"/>
        </w:numPr>
        <w:spacing w:after="80"/>
      </w:pPr>
      <w:r>
        <w:t>46 U.S.C. § 8502. Coastwise seagoing vessels that are not sailing under register must be under the direction and control of a federally licensed pilot. Pilotage on the Great Lakes is regulated federally under the Great Lakes Pilotage Act, 46 U.S.C. ch. 93.</w:t>
      </w:r>
    </w:p>
    <w:p>
      <w:pPr>
        <w:pStyle w:val="ListParagraph"/>
        <w:numPr>
          <w:ilvl w:val="0"/>
          <w:numId w:val="1"/>
        </w:numPr>
        <w:spacing w:after="80"/>
      </w:pPr>
      <w:r>
        <w:t>Professor Davies notes that pilotage is compulsory in most ports of the world, varies by state and port (Texas has multiple pilotage authorities), and generates local revenue. Pilots generally advise the master rather than take control, except in the Panama Canal, where pilots take control of the vessel.</w:t>
      </w:r>
    </w:p>
    <w:p>
      <w:pPr>
        <w:pStyle w:val="ListParagraph"/>
        <w:numPr>
          <w:ilvl w:val="0"/>
          <w:numId w:val="1"/>
        </w:numPr>
        <w:spacing w:after="80"/>
      </w:pPr>
      <w:r>
        <w:t>Remote pilotage. Finland's Pilotage Act has permitted remote pilotage since 2019, but implementation remains at the trial stage. Remote or shore-based pilotage would require changes to local pilotage law in most jurisdictions.</w:t>
      </w:r>
    </w:p>
    <w:p>
      <w:pPr>
        <w:pStyle w:val="Heading2"/>
        <w:spacing w:after="120" w:before="240"/>
      </w:pPr>
      <w:r>
        <w:rPr>
          <w:b/>
          <w:bCs/>
        </w:rPr>
        <w:t>Technology Competence</w:t>
      </w:r>
    </w:p>
    <w:p>
      <w:pPr>
        <w:pStyle w:val="ListParagraph"/>
        <w:numPr>
          <w:ilvl w:val="0"/>
          <w:numId w:val="1"/>
        </w:numPr>
        <w:spacing w:after="80"/>
      </w:pPr>
      <w:r>
        <w:t>Rule 4-1.1, Rules Regulating The Florida Bar, comment. Competent representation includes keeping abreast of changes in the law and its practice, including an understanding of the benefits and risks associated with the use of technology. ABA Model Rule of Professional Conduct 1.1, comment 8, is to the same effect.</w:t>
      </w:r>
    </w:p>
    <w:p>
      <w:pPr>
        <w:pStyle w:val="ListParagraph"/>
        <w:numPr>
          <w:ilvl w:val="0"/>
          <w:numId w:val="1"/>
        </w:numPr>
        <w:spacing w:after="80"/>
      </w:pPr>
      <w:r>
        <w:t>Lawyers advising shipowners, operators, insurers, cargo interests, ports, or technology vendors need a working understanding of sensors, remote operation centres, software updates, and satellite and wireless connectivity in order to assess seaworthiness, allocate risk in contracts and insurance, and respond to cyber incidents.</w:t>
      </w:r>
    </w:p>
    <w:p>
      <w:pPr>
        <w:pStyle w:val="Heading2"/>
        <w:spacing w:after="120" w:before="240"/>
      </w:pPr>
      <w:r>
        <w:rPr>
          <w:b/>
          <w:bCs/>
        </w:rPr>
        <w:t>Developments to Know</w:t>
      </w:r>
    </w:p>
    <w:p>
      <w:pPr>
        <w:pStyle w:val="ListParagraph"/>
        <w:numPr>
          <w:ilvl w:val="0"/>
          <w:numId w:val="1"/>
        </w:numPr>
        <w:spacing w:after="80"/>
      </w:pPr>
      <w:r>
        <w:t>IMO MASS Code. On May 22, 2026, the Maritime Safety Committee (MSC 111) adopted the non-mandatory International Code of Safety for Maritime Autonomous Surface Ships, effective July 1, 2026. It is goal-based, applies to cargo ships, covers individual remote and autonomous functions, requires risk assessment, addresses remote operation centres, and requires a human master who may be ashore but must be able to intervene. An experience-building phase will inform a mandatory code planned to take effect no earlier than January 1, 2032.</w:t>
      </w:r>
    </w:p>
    <w:p>
      <w:pPr>
        <w:pStyle w:val="ListParagraph"/>
        <w:numPr>
          <w:ilvl w:val="0"/>
          <w:numId w:val="1"/>
        </w:numPr>
        <w:spacing w:after="80"/>
      </w:pPr>
      <w:r>
        <w:t>IMO regulatory scoping exercise. Completed in 2021 (MSC.1/Circ.1638), it identified gaps in SOLAS, COLREGs, STCW, and other instruments, including the meaning of "master," "crew," and "responsible person," remote control stations, and manning. The COLREGs have not been amended for autonomous ships.</w:t>
      </w:r>
    </w:p>
    <w:p>
      <w:pPr>
        <w:pStyle w:val="ListParagraph"/>
        <w:numPr>
          <w:ilvl w:val="0"/>
          <w:numId w:val="1"/>
        </w:numPr>
        <w:spacing w:after="80"/>
      </w:pPr>
      <w:r>
        <w:t>Limitation of Liability Act amendments. The Don Young Coast Guard Authorization Act of 2022, enacted as part of the FY2023 National Defense Authorization Act (Pub. L. 117-263, Dec. 23, 2022), renumbered the core limitation provisions as 46 U.S.C. §§ 30521–30530 and removed covered small passenger vessels from the Act's protection, a response to the 2019 Conception dive-boat fire.</w:t>
      </w:r>
    </w:p>
    <w:p>
      <w:pPr>
        <w:pStyle w:val="ListParagraph"/>
        <w:numPr>
          <w:ilvl w:val="0"/>
          <w:numId w:val="1"/>
        </w:numPr>
        <w:spacing w:after="80"/>
      </w:pPr>
      <w:r>
        <w:t>Maritime cybersecurity. The U.S. Coast Guard's final rule on Cybersecurity in the Marine Transportation System (33 C.F.R. pt. 101, subpt. F) took effect July 16, 2025, with plans and assessments due by July 16, 2027. In 2026, the IMO approved a road map for a non-mandatory Maritime Cyber Code.</w:t>
      </w:r>
    </w:p>
    <w:p>
      <w:pPr>
        <w:pStyle w:val="ListParagraph"/>
        <w:numPr>
          <w:ilvl w:val="0"/>
          <w:numId w:val="1"/>
        </w:numPr>
        <w:spacing w:after="80"/>
      </w:pPr>
      <w:r>
        <w:t>National programs. Japan's MEGURI2040 passenger ferry Olympia Dream Seto became the first vessel certified as an autonomous ship under Japanese law in December 2025. South Korea's Act on Promoting the Development and Commercialization of Autonomous Ships took effect January 3, 2025. Norway's Yara Birkeland has carried cargo commercially since 2022 with a reduced crew on board. The uncrewed Mayflower Autonomous Ship crossed the Atlantic in 2022 but was towed for its final miles into Halifax because of U.S. Coast Guard limits on uncrewed vessels near shore.</w:t>
      </w:r>
    </w:p>
    <w:p>
      <w:pPr>
        <w:pStyle w:val="ListParagraph"/>
        <w:numPr>
          <w:ilvl w:val="0"/>
          <w:numId w:val="1"/>
        </w:numPr>
        <w:spacing w:after="80"/>
      </w:pPr>
      <w:r>
        <w:t>Shipping decarbonization. In October 2025, the IMO's Marine Environment Protection Committee voted to postpone for one year the adoption of the IMO Net-Zero Framework for greenhouse gas emissions from ships. The decision remains pending.</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