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80"/>
      </w:pPr>
      <w:r>
        <w:rPr>
          <w:rFonts w:ascii="Montserrat" w:cs="Montserrat" w:eastAsia="Montserrat" w:hAnsi="Montserrat"/>
          <w:b/>
          <w:bCs/>
          <w:sz w:val="36"/>
          <w:szCs w:val="36"/>
        </w:rPr>
        <w:t xml:space="preserve">Driverless Cars—A Shift in Risk</w:t>
      </w:r>
    </w:p>
    <w:p>
      <w:pPr>
        <w:spacing w:after="200"/>
      </w:pPr>
      <w:r>
        <w:rPr>
          <w:rFonts w:ascii="Montserrat" w:cs="Montserrat" w:eastAsia="Montserrat" w:hAnsi="Montserrat"/>
          <w:b/>
          <w:bCs/>
          <w:color w:val="E87722"/>
          <w:sz w:val="24"/>
          <w:szCs w:val="24"/>
        </w:rPr>
        <w:t xml:space="preserve">James Anderson</w:t>
      </w:r>
    </w:p>
    <w:p>
      <w:pPr>
        <w:pBdr>
          <w:bottom w:val="single" w:color="E87722" w:sz="6"/>
        </w:pBdr>
        <w:spacing w:after="300"/>
      </w:pPr>
    </w:p>
    <w:p>
      <w:pPr>
        <w:pStyle w:val="Heading2"/>
        <w:spacing w:after="120" w:before="240"/>
      </w:pPr>
      <w:r>
        <w:rPr>
          <w:b/>
          <w:bCs/>
        </w:rPr>
        <w:t xml:space="preserve">Overview</w:t>
      </w:r>
    </w:p>
    <w:p>
      <w:pPr>
        <w:spacing w:after="160"/>
      </w:pPr>
      <w:r>
        <w:t xml:space="preserve">This program examines how automated driving technology may change the allocation of risk and legal responsibility for motor vehicle crashes. Topics include the SAE International taxonomy of driving automation; the theoretical case for shifting liability from human drivers to manufacturers and software developers; the practical features of the auto claims system that may slow that shift; allocation of responsibility among automakers, software suppliers, and owners; fault-based, no-fault, and commercial fleet insurance; cybersecurity and correlated risk; the interaction of federal motor vehicle safety regulation, preemption, and state tort law; state authorization of automated vehicles; and recent developments in litigation, enforcement, and regulation.</w:t>
      </w:r>
    </w:p>
    <w:p>
      <w:pPr>
        <w:pStyle w:val="Heading2"/>
        <w:spacing w:after="120" w:before="240"/>
      </w:pPr>
      <w:r>
        <w:rPr>
          <w:b/>
          <w:bCs/>
        </w:rPr>
        <w:t xml:space="preserve">Learning Objectives</w:t>
      </w:r>
    </w:p>
    <w:p>
      <w:pPr>
        <w:pStyle w:val="ListParagraph"/>
        <w:numPr>
          <w:ilvl w:val="0"/>
          <w:numId w:val="1"/>
        </w:numPr>
        <w:spacing w:after="80"/>
      </w:pPr>
      <w:r>
        <w:t xml:space="preserve">Describe the SAE J3016 levels of driving automation and explain why Level 3 conditional automation raises distinct safety and liability concerns.</w:t>
      </w:r>
    </w:p>
    <w:p>
      <w:pPr>
        <w:pStyle w:val="ListParagraph"/>
        <w:numPr>
          <w:ilvl w:val="0"/>
          <w:numId w:val="1"/>
        </w:numPr>
        <w:spacing w:after="80"/>
      </w:pPr>
      <w:r>
        <w:t xml:space="preserve">Apply the deterrence, corrective justice, and compensation rationales of tort law, and the cheapest cost avoider principle, to crashes involving automated vehicles.</w:t>
      </w:r>
    </w:p>
    <w:p>
      <w:pPr>
        <w:pStyle w:val="ListParagraph"/>
        <w:numPr>
          <w:ilvl w:val="0"/>
          <w:numId w:val="1"/>
        </w:numPr>
        <w:spacing w:after="80"/>
      </w:pPr>
      <w:r>
        <w:t xml:space="preserve">Identify the product liability theories (design defect, failure to warn) and negligence principles that govern claims against manufacturers and operators.</w:t>
      </w:r>
    </w:p>
    <w:p>
      <w:pPr>
        <w:pStyle w:val="ListParagraph"/>
        <w:numPr>
          <w:ilvl w:val="0"/>
          <w:numId w:val="1"/>
        </w:numPr>
        <w:spacing w:after="80"/>
      </w:pPr>
      <w:r>
        <w:t xml:space="preserve">Explain how fault-based, no-fault, and commercial fleet insurance would respond to automated vehicle crashes, and why correlated cyber risk complicates insurability.</w:t>
      </w:r>
    </w:p>
    <w:p>
      <w:pPr>
        <w:pStyle w:val="ListParagraph"/>
        <w:numPr>
          <w:ilvl w:val="0"/>
          <w:numId w:val="1"/>
        </w:numPr>
        <w:spacing w:after="80"/>
      </w:pPr>
      <w:r>
        <w:t xml:space="preserve">Analyze the division of authority between NHTSA and the states, including express and implied preemption under the National Traffic and Motor Vehicle Safety Act.</w:t>
      </w:r>
    </w:p>
    <w:p>
      <w:pPr>
        <w:pStyle w:val="ListParagraph"/>
        <w:numPr>
          <w:ilvl w:val="0"/>
          <w:numId w:val="1"/>
        </w:numPr>
        <w:spacing w:after="80"/>
      </w:pPr>
      <w:r>
        <w:t xml:space="preserve">Summarize current federal and state developments affecting automated vehicle deployment and liability.</w:t>
      </w:r>
    </w:p>
    <w:p>
      <w:pPr>
        <w:pStyle w:val="Heading2"/>
        <w:spacing w:after="120" w:before="240"/>
      </w:pPr>
      <w:r>
        <w:rPr>
          <w:b/>
          <w:bCs/>
        </w:rPr>
        <w:t xml:space="preserve">Defining Automation: SAE J3016</w:t>
      </w:r>
    </w:p>
    <w:p>
      <w:pPr>
        <w:spacing w:after="160"/>
      </w:pPr>
      <w:r>
        <w:t xml:space="preserve">SAE International's Recommended Practice J3016,</w:t>
      </w:r>
      <w:r>
        <w:rPr>
          <w:i/>
          <w:iCs/>
        </w:rPr>
        <w:t xml:space="preserve">Taxonomy and Definitions for Terms Related to Driving Automation Systems for On-Road Motor Vehicles</w:t>
      </w:r>
      <w:r>
        <w:t xml:space="preserve">(rev. Apr. 2021; further revised Sept. 2026), is the reference standard used by NHTSA, state legislatures, and industry. It classifies automation by the allocation of the "dynamic driving task" between the human and the system:</w:t>
      </w:r>
    </w:p>
    <w:p>
      <w:pPr>
        <w:pStyle w:val="ListParagraph"/>
        <w:numPr>
          <w:ilvl w:val="0"/>
          <w:numId w:val="1"/>
        </w:numPr>
        <w:spacing w:after="80"/>
      </w:pPr>
      <w:r>
        <w:rPr>
          <w:b/>
          <w:bCs/>
        </w:rPr>
        <w:t xml:space="preserve">Level 0 (no driving automation).</w:t>
      </w:r>
      <w:r>
        <w:t xml:space="preserve">The human performs the entire driving task. Warnings and momentary interventions, such as automatic emergency braking, do not change the classification.</w:t>
      </w:r>
    </w:p>
    <w:p>
      <w:pPr>
        <w:pStyle w:val="ListParagraph"/>
        <w:numPr>
          <w:ilvl w:val="0"/>
          <w:numId w:val="1"/>
        </w:numPr>
        <w:spacing w:after="80"/>
      </w:pPr>
      <w:r>
        <w:rPr>
          <w:b/>
          <w:bCs/>
        </w:rPr>
        <w:t xml:space="preserve">Level 1 (driver assistance).</w:t>
      </w:r>
      <w:r>
        <w:t xml:space="preserve">The system provides sustained control of either steering or speed, such as adaptive cruise control or lane keeping assistance.</w:t>
      </w:r>
    </w:p>
    <w:p>
      <w:pPr>
        <w:pStyle w:val="ListParagraph"/>
        <w:numPr>
          <w:ilvl w:val="0"/>
          <w:numId w:val="1"/>
        </w:numPr>
        <w:spacing w:after="80"/>
      </w:pPr>
      <w:r>
        <w:rPr>
          <w:b/>
          <w:bCs/>
        </w:rPr>
        <w:t xml:space="preserve">Level 2 (partial driving automation).</w:t>
      </w:r>
      <w:r>
        <w:t xml:space="preserve">The system controls both steering and speed, but the human must supervise continuously and remains the driver.</w:t>
      </w:r>
    </w:p>
    <w:p>
      <w:pPr>
        <w:pStyle w:val="ListParagraph"/>
        <w:numPr>
          <w:ilvl w:val="0"/>
          <w:numId w:val="1"/>
        </w:numPr>
        <w:spacing w:after="80"/>
      </w:pPr>
      <w:r>
        <w:rPr>
          <w:b/>
          <w:bCs/>
        </w:rPr>
        <w:t xml:space="preserve">Level 3 (conditional driving automation).</w:t>
      </w:r>
      <w:r>
        <w:t xml:space="preserve">The system performs the entire driving task within its operational design domain (ODD), but a human "fallback-ready user" must take over when the system requests. J3016 does not prescribe a minimum takeover interval.</w:t>
      </w:r>
    </w:p>
    <w:p>
      <w:pPr>
        <w:pStyle w:val="ListParagraph"/>
        <w:numPr>
          <w:ilvl w:val="0"/>
          <w:numId w:val="1"/>
        </w:numPr>
        <w:spacing w:after="80"/>
      </w:pPr>
      <w:r>
        <w:rPr>
          <w:b/>
          <w:bCs/>
        </w:rPr>
        <w:t xml:space="preserve">Level 4 (high driving automation).</w:t>
      </w:r>
      <w:r>
        <w:t xml:space="preserve">The system performs the entire driving task and any fallback within its ODD; no human intervention is expected.</w:t>
      </w:r>
    </w:p>
    <w:p>
      <w:pPr>
        <w:pStyle w:val="ListParagraph"/>
        <w:numPr>
          <w:ilvl w:val="0"/>
          <w:numId w:val="1"/>
        </w:numPr>
        <w:spacing w:after="80"/>
      </w:pPr>
      <w:r>
        <w:rPr>
          <w:b/>
          <w:bCs/>
        </w:rPr>
        <w:t xml:space="preserve">Level 5 (full driving automation).</w:t>
      </w:r>
      <w:r>
        <w:t xml:space="preserve">The system performs the entire driving task under all conditions a human driver could manage.</w:t>
      </w:r>
    </w:p>
    <w:p>
      <w:pPr>
        <w:spacing w:after="160"/>
      </w:pPr>
      <w:r>
        <w:t xml:space="preserve">Levels 0 through 2 are driver support features; the human is the driver. Levels 3 through 5 are automated driving systems (ADS). The guest stresses three points. Human-factors research shows that people perform poorly when asked to monitor a reliable system and intervene rarely, which makes Level 3 especially problematic. Developers may skip Level 3 and move directly to Level 4. The level a product occupies, and the way it is marketed, may be central to liability because it defines what the human was expected to do.</w:t>
      </w:r>
    </w:p>
    <w:p>
      <w:pPr>
        <w:pStyle w:val="Heading2"/>
        <w:spacing w:after="120" w:before="240"/>
      </w:pPr>
      <w:r>
        <w:rPr>
          <w:b/>
          <w:bCs/>
        </w:rPr>
        <w:t xml:space="preserve">The Theoretical Case for a Shift in Liability</w:t>
      </w:r>
    </w:p>
    <w:p>
      <w:pPr>
        <w:spacing w:after="160"/>
      </w:pPr>
      <w:r>
        <w:t xml:space="preserve">The guest identifies three classical justifications for tort liability: economic deterrence, corrective justice or civil recourse, and compensation for the injured. As control of the vehicle moves from the human to the system, each points toward the manufacturer or software developer rather than the occupant. Under the economic analysis associated with Guido Calabresi,</w:t>
      </w:r>
      <w:r>
        <w:rPr>
          <w:i/>
          <w:iCs/>
        </w:rPr>
        <w:t xml:space="preserve">The Costs of Accidents</w:t>
      </w:r>
      <w:r>
        <w:t xml:space="preserve">(1970), liability should rest on the "cheapest cost avoider," the party able to reduce accident costs at the lowest cost. For an automated vehicle, that is likely the party that designs, validates, and updates the driving software, not a consumer who cannot evaluate it. The idea that manufacturers should bear more of the cost of crashes is not new. Courts adopted the "crashworthiness" doctrine in the late 1960s, holding manufacturers liable for injuries enhanced by defective design. See</w:t>
      </w:r>
      <w:r>
        <w:rPr>
          <w:i/>
          <w:iCs/>
        </w:rPr>
        <w:t xml:space="preserve">Larsen v. General Motors Corp.</w:t>
      </w:r>
      <w:r>
        <w:t xml:space="preserve">, 391 F.2d 495 (8th Cir. 1968). The guest also notes that causal attribution in crash cases is partly a legal convention: road design, speed limiters, vehicle structure, and visibility all contribute, yet the system usually assigns fault to a single driver.</w:t>
      </w:r>
    </w:p>
    <w:p>
      <w:pPr>
        <w:pStyle w:val="Heading2"/>
        <w:spacing w:after="120" w:before="240"/>
      </w:pPr>
      <w:r>
        <w:rPr>
          <w:b/>
          <w:bCs/>
        </w:rPr>
        <w:t xml:space="preserve">Product Liability and Negligence Frameworks</w:t>
      </w:r>
    </w:p>
    <w:p>
      <w:pPr>
        <w:pStyle w:val="Heading3"/>
        <w:spacing w:after="120" w:before="240"/>
      </w:pPr>
      <w:r>
        <w:rPr>
          <w:b/>
          <w:bCs/>
        </w:rPr>
        <w:t xml:space="preserve">Claims Against Manufacturers and Software Developers</w:t>
      </w:r>
    </w:p>
    <w:p>
      <w:pPr>
        <w:pStyle w:val="ListParagraph"/>
        <w:numPr>
          <w:ilvl w:val="0"/>
          <w:numId w:val="1"/>
        </w:numPr>
        <w:spacing w:after="80"/>
      </w:pPr>
      <w:r>
        <w:rPr>
          <w:b/>
          <w:bCs/>
        </w:rPr>
        <w:t xml:space="preserve">Design defect.</w:t>
      </w:r>
      <w:r>
        <w:t xml:space="preserve">Under the Restatement (Third) of Torts: Products Liability § 2(b) (1998), a product is defective in design when the foreseeable risks of harm could have been reduced or avoided by a reasonable alternative design (the risk-utility test). Some jurisdictions also use or retain a consumer expectations test. See</w:t>
      </w:r>
      <w:r>
        <w:rPr>
          <w:i/>
          <w:iCs/>
        </w:rPr>
        <w:t xml:space="preserve">Barker v. Lull Engineering Co.</w:t>
      </w:r>
      <w:r>
        <w:t xml:space="preserve">, 20 Cal. 3d 413 (1978) (either test);</w:t>
      </w:r>
      <w:r>
        <w:rPr>
          <w:i/>
          <w:iCs/>
        </w:rPr>
        <w:t xml:space="preserve">Aubin v. Union Carbide Corp.</w:t>
      </w:r>
      <w:r>
        <w:t xml:space="preserve">, 177 So. 3d 489 (Fla. 2015) (consumer expectations test under Florida law). Design claims against automated systems typically focus on ODD limits, driver monitoring, and whether the system can be engaged outside the conditions for which it was designed.</w:t>
      </w:r>
    </w:p>
    <w:p>
      <w:pPr>
        <w:pStyle w:val="ListParagraph"/>
        <w:numPr>
          <w:ilvl w:val="0"/>
          <w:numId w:val="1"/>
        </w:numPr>
        <w:spacing w:after="80"/>
      </w:pPr>
      <w:r>
        <w:rPr>
          <w:b/>
          <w:bCs/>
        </w:rPr>
        <w:t xml:space="preserve">Failure to warn.</w:t>
      </w:r>
      <w:r>
        <w:t xml:space="preserve">Restatement (Third) § 2(c) imposes liability when foreseeable risks could have been reduced by reasonable instructions or warnings. For driver assistance systems, the adequacy of warnings interacts with marketing: a product name or advertising that overstates capability may undercut written cautions.</w:t>
      </w:r>
    </w:p>
    <w:p>
      <w:pPr>
        <w:pStyle w:val="ListParagraph"/>
        <w:numPr>
          <w:ilvl w:val="0"/>
          <w:numId w:val="1"/>
        </w:numPr>
        <w:spacing w:after="80"/>
      </w:pPr>
      <w:r>
        <w:rPr>
          <w:b/>
          <w:bCs/>
        </w:rPr>
        <w:t xml:space="preserve">Manufacturing defect and post-sale duties.</w:t>
      </w:r>
      <w:r>
        <w:t xml:space="preserve">Software errors may be framed as manufacturing defects when the code departs from its intended design. Restatement (Third) §§ 10&amp;ndash;11 recognize limited post-sale duties to warn and to recall. Over-the-air updates make post-sale correction more feasible and may expand what is considered reasonable.</w:t>
      </w:r>
    </w:p>
    <w:p>
      <w:pPr>
        <w:pStyle w:val="Heading3"/>
        <w:spacing w:after="120" w:before="240"/>
      </w:pPr>
      <w:r>
        <w:rPr>
          <w:b/>
          <w:bCs/>
        </w:rPr>
        <w:t xml:space="preserve">Claims Against Owners and Operators</w:t>
      </w:r>
    </w:p>
    <w:p>
      <w:pPr>
        <w:spacing w:after="160"/>
      </w:pPr>
      <w:r>
        <w:t xml:space="preserve">For Level 0&amp;ndash;2 vehicles, the human remains the driver, and ordinary negligence and comparative fault principles govern. For higher levels, statutes increasingly address who is the "operator." Florida, for example, provides that "the automated driving system, when engaged, shall be deemed to be the operator of an autonomous vehicle." Fla. Stat. § 316.85(3)(a). Owners may still face negligence claims for failing to install safety-critical software updates, disabling safety features, or using a system outside its intended conditions. The guest predicts that these questions will ultimately turn on the reasonableness of each party's conduct. Comparative fault rules matter: Florida adopted modified comparative negligence in 2023, barring recovery by a plaintiff found more than 50 percent at fault in most negligence actions. Fla. Stat. § 768.81(6).</w:t>
      </w:r>
    </w:p>
    <w:p>
      <w:pPr>
        <w:pStyle w:val="Heading3"/>
        <w:spacing w:after="120" w:before="240"/>
      </w:pPr>
      <w:r>
        <w:rPr>
          <w:b/>
          <w:bCs/>
        </w:rPr>
        <w:t xml:space="preserve">Allocation by Contract and Alternative Liability Rules</w:t>
      </w:r>
    </w:p>
    <w:p>
      <w:pPr>
        <w:spacing w:after="160"/>
      </w:pPr>
      <w:r>
        <w:t xml:space="preserve">Where the automaker and the software developer are different firms, the guest expects risk to be allocated by indemnification agreements. These may run from the software supplier to the manufacturer and potentially from the manufacturer to the owner. Policymakers could instead adopt a strict liability rule for the owner or operator, analogous to the traditional responsibility of a ship's master for the vessel, or channel liability to the manufacturer. The guest expects significant litigation in the near term and greater contractual clarity as the case law matures.</w:t>
      </w:r>
    </w:p>
    <w:p>
      <w:pPr>
        <w:pStyle w:val="Heading2"/>
        <w:spacing w:after="120" w:before="240"/>
      </w:pPr>
      <w:r>
        <w:rPr>
          <w:b/>
          <w:bCs/>
        </w:rPr>
        <w:t xml:space="preserve">Insurance: Fault, No-Fault, and Fleets</w:t>
      </w:r>
    </w:p>
    <w:p>
      <w:pPr>
        <w:spacing w:after="160"/>
      </w:pPr>
      <w:r>
        <w:t xml:space="preserve">Most crash claims are resolved administratively by liability insurers, with inter-company arbitration resolving disputes between carriers. Manufacturers have historically appeared only in a small fraction of crash claims and lack claims-handling infrastructure. The guest identifies this system as a principal practical reason that liability may not shift to manufacturers quickly.</w:t>
      </w:r>
    </w:p>
    <w:p>
      <w:pPr>
        <w:pStyle w:val="ListParagraph"/>
        <w:numPr>
          <w:ilvl w:val="0"/>
          <w:numId w:val="1"/>
        </w:numPr>
        <w:spacing w:after="80"/>
      </w:pPr>
      <w:r>
        <w:rPr>
          <w:b/>
          <w:bCs/>
        </w:rPr>
        <w:t xml:space="preserve">No-fault.</w:t>
      </w:r>
      <w:r>
        <w:t xml:space="preserve">In no-fault states, injured occupants recover economic losses from their own personal injury protection (PIP) coverage, with tort claims limited to serious injuries. See, e.g., Florida Motor Vehicle No-Fault Law, Fla. Stat. §§ 627.730&amp;ndash;627.7405. The guest observes that no-fault did not deliver the cost savings promised in the 1970s. He also cautions that a universal no-fault system for automated vehicles would weaken the price signal that rewards safer vehicles with lower premiums.</w:t>
      </w:r>
    </w:p>
    <w:p>
      <w:pPr>
        <w:pStyle w:val="ListParagraph"/>
        <w:numPr>
          <w:ilvl w:val="0"/>
          <w:numId w:val="1"/>
        </w:numPr>
        <w:spacing w:after="80"/>
      </w:pPr>
      <w:r>
        <w:rPr>
          <w:b/>
          <w:bCs/>
        </w:rPr>
        <w:t xml:space="preserve">Fleets and commercial lines.</w:t>
      </w:r>
      <w:r>
        <w:t xml:space="preserve">If automated vehicles are operated principally by fleets rather than owned by individuals, crash risk moves into commercial insurance or self-insurance among sophisticated parties. State AV statutes frequently impose elevated minimums. Florida requires at least $1 million in primary liability coverage for death, bodily injury, and property damage, plus PIP and uninsured motorist coverage, for fully autonomous vehicles operating on on-demand networks. Fla. Stat. § 627.749.</w:t>
      </w:r>
    </w:p>
    <w:p>
      <w:pPr>
        <w:pStyle w:val="ListParagraph"/>
        <w:numPr>
          <w:ilvl w:val="0"/>
          <w:numId w:val="1"/>
        </w:numPr>
        <w:spacing w:after="80"/>
      </w:pPr>
      <w:r>
        <w:rPr>
          <w:b/>
          <w:bCs/>
        </w:rPr>
        <w:t xml:space="preserve">Claim severity.</w:t>
      </w:r>
      <w:r>
        <w:t xml:space="preserve">Advanced driver assistance features have reduced some crash types, but sensors embedded in bumpers and windshields increase repair costs, so fewer crashes do not necessarily mean lower claim costs.</w:t>
      </w:r>
    </w:p>
    <w:p>
      <w:pPr>
        <w:pStyle w:val="Heading2"/>
        <w:spacing w:after="120" w:before="240"/>
      </w:pPr>
      <w:r>
        <w:rPr>
          <w:b/>
          <w:bCs/>
        </w:rPr>
        <w:t xml:space="preserve">Cybersecurity and Correlated Risk</w:t>
      </w:r>
    </w:p>
    <w:p>
      <w:pPr>
        <w:spacing w:after="160"/>
      </w:pPr>
      <w:r>
        <w:t xml:space="preserve">Remote compromise of a vehicle fleet could produce simultaneous crashes or the deliberate use of vehicles as weapons. The guest considers such scenarios unlikely but not impossible. Liability insurance depends on pooling independent risks. A common software defect, a hacker, or a nation-state attack could correlate losses across a fleet, much as terrorism risk did for property insurers after September 11, 2001. Congress responded to that problem with a federal backstop, the Terrorism Risk Insurance Act of 2002, Pub. L. No. 107-297, 116 Stat. 2322, which offers a model for catastrophic, correlated losses. RAND's study</w:t>
      </w:r>
      <w:r>
        <w:rPr>
          <w:i/>
          <w:iCs/>
        </w:rPr>
        <w:t xml:space="preserve">When Autonomous Vehicles Are Hacked, Who Is Liable?</w:t>
      </w:r>
      <w:r>
        <w:t xml:space="preserve">(2019) concluded that existing doctrines, including product liability, negligence, and computer-crime statutes, can address most hacking incidents but may be strained by large-scale attacks. NHTSA's</w:t>
      </w:r>
      <w:r>
        <w:rPr>
          <w:i/>
          <w:iCs/>
        </w:rPr>
        <w:t xml:space="preserve">Cybersecurity Best Practices for the Safety of Modern Vehicles</w:t>
      </w:r>
      <w:r>
        <w:t xml:space="preserve">(2022) sets out non-binding expectations for manufacturers. The Department of Commerce's connected-vehicle rule, issued in January 2025 under its information and communications technology supply chain authority, prohibits vehicle connectivity and automated driving software linked to China or Russia beginning with model year 2027, and related hardware beginning with model year 2030.</w:t>
      </w:r>
    </w:p>
    <w:p>
      <w:pPr>
        <w:pStyle w:val="Heading2"/>
        <w:spacing w:after="120" w:before="240"/>
      </w:pPr>
      <w:r>
        <w:rPr>
          <w:b/>
          <w:bCs/>
        </w:rPr>
        <w:t xml:space="preserve">Federal Regulation and Preemption</w:t>
      </w:r>
    </w:p>
    <w:p>
      <w:pPr>
        <w:spacing w:after="160"/>
      </w:pPr>
      <w:r>
        <w:t xml:space="preserve">The National Traffic and Motor Vehicle Safety Act, 49 U.S.C. § 30101 et seq., authorizes NHTSA to issue Federal Motor Vehicle Safety Standards (FMVSS), 49 U.S.C. § 30111; prohibits the sale of noncompliant vehicles, § 30112; and requires notice and remedy of safety defects, §§ 30118&amp;ndash;30120. Manufacturers self-certify compliance. Most FMVSS were written assuming a human driver with manual controls. A vehicle without a steering wheel or pedals therefore requires an exemption or amended standards. Under § 30113 and 49 C.F.R. Part 555, a manufacturer may obtain an exemption for up to 2,500 vehicles per year. Under § 30114 and 49 C.F.R. Part 591, vehicles may be exempted for research, demonstrations, and similar purposes. NHTSA's defect authority applies to software, and NHTSA has used recalls and investigations to address automated and driver assistance systems.</w:t>
      </w:r>
    </w:p>
    <w:p>
      <w:pPr>
        <w:pStyle w:val="Heading3"/>
        <w:spacing w:after="120" w:before="240"/>
      </w:pPr>
      <w:r>
        <w:rPr>
          <w:b/>
          <w:bCs/>
        </w:rPr>
        <w:t xml:space="preserve">Preemption</w:t>
      </w:r>
    </w:p>
    <w:p>
      <w:pPr>
        <w:pStyle w:val="ListParagraph"/>
        <w:numPr>
          <w:ilvl w:val="0"/>
          <w:numId w:val="1"/>
        </w:numPr>
        <w:spacing w:after="80"/>
      </w:pPr>
      <w:r>
        <w:rPr>
          <w:b/>
          <w:bCs/>
        </w:rPr>
        <w:t xml:space="preserve">Express preemption.</w:t>
      </w:r>
      <w:r>
        <w:t xml:space="preserve">When an FMVSS is in effect, a state may not maintain a standard applicable to the same aspect of performance unless it is identical. 49 U.S.C. § 30103(b)(1).</w:t>
      </w:r>
    </w:p>
    <w:p>
      <w:pPr>
        <w:pStyle w:val="ListParagraph"/>
        <w:numPr>
          <w:ilvl w:val="0"/>
          <w:numId w:val="1"/>
        </w:numPr>
        <w:spacing w:after="80"/>
      </w:pPr>
      <w:r>
        <w:rPr>
          <w:b/>
          <w:bCs/>
        </w:rPr>
        <w:t xml:space="preserve">Savings clause.</w:t>
      </w:r>
      <w:r>
        <w:t xml:space="preserve">"Compliance with a motor vehicle safety standard ... does not exempt a person from liability at common law." § 30103(e).</w:t>
      </w:r>
    </w:p>
    <w:p>
      <w:pPr>
        <w:pStyle w:val="ListParagraph"/>
        <w:numPr>
          <w:ilvl w:val="0"/>
          <w:numId w:val="1"/>
        </w:numPr>
        <w:spacing w:after="80"/>
      </w:pPr>
      <w:r>
        <w:rPr>
          <w:b/>
          <w:bCs/>
        </w:rPr>
        <w:t xml:space="preserve">Implied conflict preemption.</w:t>
      </w:r>
      <w:r>
        <w:t xml:space="preserve">In</w:t>
      </w:r>
      <w:r>
        <w:rPr>
          <w:i/>
          <w:iCs/>
        </w:rPr>
        <w:t xml:space="preserve">Geier v. American Honda Motor Co.</w:t>
      </w:r>
      <w:r>
        <w:t xml:space="preserve">, 529 U.S. 861 (2000), the Court held that a tort claim premised on the absence of an airbag was preempted because it would frustrate FMVSS 208's deliberate choice to allow a mix of passive restraints. In</w:t>
      </w:r>
      <w:r>
        <w:rPr>
          <w:i/>
          <w:iCs/>
        </w:rPr>
        <w:t xml:space="preserve">Williamson v. Mazda Motor of America, Inc.</w:t>
      </w:r>
      <w:r>
        <w:t xml:space="preserve">, 562 U.S. 323 (2011), the Court found no preemption where manufacturer choice was not a significant regulatory objective. Because no FMVSS currently prescribes ADS performance, state tort claims concerning automated driving behavior are generally not preempted. Federal AV legislation could change that.</w:t>
      </w:r>
    </w:p>
    <w:p>
      <w:pPr>
        <w:spacing w:after="160"/>
      </w:pPr>
      <w:r>
        <w:t xml:space="preserve">The guest describes the policy trade-off. Preemption or liability caps provide clarity and national uniformity, but they halt the development of state common law and lock in a regulatory judgment that may prove wrong in a fast-moving field. Without preemption, the tort system acts as a background regulator. A regulatory violation may also be evidence of negligence.</w:t>
      </w:r>
    </w:p>
    <w:p>
      <w:pPr>
        <w:pStyle w:val="Heading2"/>
        <w:spacing w:after="120" w:before="240"/>
      </w:pPr>
      <w:r>
        <w:rPr>
          <w:b/>
          <w:bCs/>
        </w:rPr>
        <w:t xml:space="preserve">State Law</w:t>
      </w:r>
    </w:p>
    <w:p>
      <w:pPr>
        <w:spacing w:after="160"/>
      </w:pPr>
      <w:r>
        <w:t xml:space="preserve">States regulate driver licensing, vehicle registration, traffic laws, insurance, and tort liability. Most states have enacted AV statutes or executive orders, mainly addressing testing and deployment. Representative frameworks include:</w:t>
      </w:r>
    </w:p>
    <w:p>
      <w:pPr>
        <w:pStyle w:val="ListParagraph"/>
        <w:numPr>
          <w:ilvl w:val="0"/>
          <w:numId w:val="1"/>
        </w:numPr>
        <w:spacing w:after="80"/>
      </w:pPr>
      <w:r>
        <w:rPr>
          <w:b/>
          <w:bCs/>
        </w:rPr>
        <w:t xml:space="preserve">California.</w:t>
      </w:r>
      <w:r>
        <w:t xml:space="preserve">Cal. Veh. Code § 38750 and Cal. Code Regs. tit. 13, § 227.00 et seq. establish DMV permits for testing with a safety driver, driverless testing, and deployment. The California Public Utilities Commission separately regulates passenger service. AB 1777 (2024), effective July 1, 2026, authorizes "notices of noncompliance" to AV manufacturers for traffic violations and requires manufacturers to respond to emergency geofencing directives. DMV regulations adopted in April 2026 implement these provisions and authorize testing and deployment of heavy-duty autonomous trucks.</w:t>
      </w:r>
    </w:p>
    <w:p>
      <w:pPr>
        <w:pStyle w:val="ListParagraph"/>
        <w:numPr>
          <w:ilvl w:val="0"/>
          <w:numId w:val="1"/>
        </w:numPr>
        <w:spacing w:after="80"/>
      </w:pPr>
      <w:r>
        <w:rPr>
          <w:b/>
          <w:bCs/>
        </w:rPr>
        <w:t xml:space="preserve">Texas.</w:t>
      </w:r>
      <w:r>
        <w:t xml:space="preserve">Tex. Transp. Code ch. 545, subch. J, as amended by S.B. 2807 (2025), requires TxDMV authorization before a vehicle operated by an automated driving system may be used commercially without a human driver. Authorization requirements became enforceable on May 28, 2026.</w:t>
      </w:r>
    </w:p>
    <w:p>
      <w:pPr>
        <w:pStyle w:val="ListParagraph"/>
        <w:numPr>
          <w:ilvl w:val="0"/>
          <w:numId w:val="1"/>
        </w:numPr>
        <w:spacing w:after="80"/>
      </w:pPr>
      <w:r>
        <w:rPr>
          <w:b/>
          <w:bCs/>
        </w:rPr>
        <w:t xml:space="preserve">Florida.</w:t>
      </w:r>
      <w:r>
        <w:t xml:space="preserve">Fla. Stat. § 316.85 permits operation of fully autonomous vehicles without a licensed human operator and deems the engaged ADS the operator. Section 319.145 governs vehicles operated by teleoperation, and § 627.749 sets insurance requirements for on-demand autonomous networks.</w:t>
      </w:r>
    </w:p>
    <w:p>
      <w:pPr>
        <w:pStyle w:val="ListParagraph"/>
        <w:numPr>
          <w:ilvl w:val="0"/>
          <w:numId w:val="1"/>
        </w:numPr>
        <w:spacing w:after="80"/>
      </w:pPr>
      <w:r>
        <w:rPr>
          <w:b/>
          <w:bCs/>
        </w:rPr>
        <w:t xml:space="preserve">Nevada.</w:t>
      </w:r>
      <w:r>
        <w:t xml:space="preserve">Nev. Rev. Stat. ch. 482A, one of the earliest AV statutes, governs testing and certification of autonomous vehicles.</w:t>
      </w:r>
    </w:p>
    <w:p>
      <w:pPr>
        <w:spacing w:after="160"/>
      </w:pPr>
      <w:r>
        <w:t xml:space="preserve">Laws drafted for human drivers, such as licensing, duties after a collision, and obedience to police directions, may need amendment. The guest notes that the absence of an express prohibition generally means that AV testing is not unlawful. He considers a general ban on human driving unlikely, but dedicating particular roads or lanes to automated vehicles is plausible.</w:t>
      </w:r>
    </w:p>
    <w:p>
      <w:pPr>
        <w:pStyle w:val="Heading2"/>
        <w:spacing w:after="120" w:before="240"/>
      </w:pPr>
      <w:r>
        <w:rPr>
          <w:b/>
          <w:bCs/>
        </w:rPr>
        <w:t xml:space="preserve">Developments to Know</w:t>
      </w:r>
    </w:p>
    <w:p>
      <w:pPr>
        <w:pStyle w:val="ListParagraph"/>
        <w:numPr>
          <w:ilvl w:val="0"/>
          <w:numId w:val="1"/>
        </w:numPr>
        <w:spacing w:after="80"/>
      </w:pPr>
      <w:r>
        <w:rPr>
          <w:b/>
          <w:bCs/>
        </w:rPr>
        <w:t xml:space="preserve">Commercial robotaxi deployment.</w:t>
      </w:r>
      <w:r>
        <w:t xml:space="preserve">Waymo reported approximately 500,000 paid driverless rides per week across ten U.S. cities in March 2026 and has stated a goal of one million weekly rides by the end of 2026. Tesla began offering some robotaxi rides in Austin without an onboard safety monitor in January 2026. In August 2025, NHTSA granted Zoox the first demonstration exemption for American-built, purpose-built automated vehicles under the expanded Automated Vehicle Exemption Program.</w:t>
      </w:r>
    </w:p>
    <w:p>
      <w:pPr>
        <w:pStyle w:val="ListParagraph"/>
        <w:numPr>
          <w:ilvl w:val="0"/>
          <w:numId w:val="1"/>
        </w:numPr>
        <w:spacing w:after="80"/>
      </w:pPr>
      <w:r>
        <w:rPr>
          <w:b/>
          <w:bCs/>
        </w:rPr>
        <w:t xml:space="preserve">Cruise.</w:t>
      </w:r>
      <w:r>
        <w:t xml:space="preserve">On October 2, 2023, a Cruise robotaxi in San Francisco struck a pedestrian who had been thrown into its path by another vehicle and dragged her about 20 feet. On October 24, 2023, the California DMV suspended Cruise's deployment and driverless testing permits, citing unreasonable risk and misrepresentation. NHTSA imposed a $1.5 million penalty in a September 2024 consent order for incomplete crash reports. In November 2024, Cruise entered a deferred prosecution agreement and agreed to pay a $500,000 fine for a false report to NHTSA, 18 U.S.C. § 1519. On December 10, 2024, GM announced that it would stop funding the robotaxi business.</w:t>
      </w:r>
    </w:p>
    <w:p>
      <w:pPr>
        <w:pStyle w:val="ListParagraph"/>
        <w:numPr>
          <w:ilvl w:val="0"/>
          <w:numId w:val="1"/>
        </w:numPr>
        <w:spacing w:after="80"/>
      </w:pPr>
      <w:r>
        <w:rPr>
          <w:b/>
          <w:bCs/>
        </w:rPr>
        <w:t xml:space="preserve">Level 3 in the consumer market.</w:t>
      </w:r>
      <w:r>
        <w:t xml:space="preserve">Mercedes-Benz Drive Pilot was certified in Nevada in January 2023 and approved by the California DMV on June 8, 2023, for daylight highway operation at speeds up to 40 mph. It was the first Level 3 system offered to U.S. consumers. In January 2026, Mercedes paused the system, citing limited customer benefit, and shifted to a supervised Level 2 system.</w:t>
      </w:r>
    </w:p>
    <w:p>
      <w:pPr>
        <w:pStyle w:val="ListParagraph"/>
        <w:numPr>
          <w:ilvl w:val="0"/>
          <w:numId w:val="1"/>
        </w:numPr>
        <w:spacing w:after="80"/>
      </w:pPr>
      <w:r>
        <w:rPr>
          <w:b/>
          <w:bCs/>
        </w:rPr>
        <w:t xml:space="preserve">&lt;i&gt;Benavides v. Tesla, Inc.&lt;/i&gt;, No. 1:21-cv-21940 (S.D. Fla.).</w:t>
      </w:r>
      <w:r>
        <w:t xml:space="preserve">On August 1, 2025, a jury found Tesla 33 percent at fault for a 2019 Key Largo crash in which a driver using Autopilot looked down for a dropped phone and struck a parked vehicle, killing one bystander and seriously injuring another. The verdict rested on strict liability design defect and failure to warn and totaled about $243 million, including $200 million in punitive damages. On February 19, 2026, the court denied Tesla's renewed motion for judgment as a matter of law and its motion for a new trial. Tesla's appeal is pending in the Eleventh Circuit (No. 26-10858).</w:t>
      </w:r>
    </w:p>
    <w:p>
      <w:pPr>
        <w:pStyle w:val="ListParagraph"/>
        <w:numPr>
          <w:ilvl w:val="0"/>
          <w:numId w:val="1"/>
        </w:numPr>
        <w:spacing w:after="80"/>
      </w:pPr>
      <w:r>
        <w:rPr>
          <w:b/>
          <w:bCs/>
        </w:rPr>
        <w:t xml:space="preserve">Tesla marketing and investigations.</w:t>
      </w:r>
      <w:r>
        <w:t xml:space="preserve">In December 2025, the California DMV found Tesla's use of "Autopilot" and "Full Self-Driving" misleading and gave Tesla 60 days to cure or face a 30-day suspension of its dealer license. In February 2026, the DMV announced that Tesla had stopped using "Autopilot" in California marketing. Tesla's consumer system, "Full Self-Driving (Supervised)," is a Level 2 feature. In October 2025, NHTSA opened a preliminary evaluation of about 2.88 million FSD-equipped vehicles after reports of red-light and wrong-way violations. That followed a December 2023 recall of about two million vehicles (Recall 23V-838) to strengthen Autosteer driver-engagement controls.</w:t>
      </w:r>
    </w:p>
    <w:p>
      <w:pPr>
        <w:pStyle w:val="ListParagraph"/>
        <w:numPr>
          <w:ilvl w:val="0"/>
          <w:numId w:val="1"/>
        </w:numPr>
        <w:spacing w:after="80"/>
      </w:pPr>
      <w:r>
        <w:rPr>
          <w:b/>
          <w:bCs/>
        </w:rPr>
        <w:t xml:space="preserve">NHTSA AV Framework.</w:t>
      </w:r>
      <w:r>
        <w:t xml:space="preserve">DOT announced its AV Framework on April 24, 2025. A Third Amended Standing General Order, effective June 16, 2025, streamlined crash reporting for ADS and Level 2 systems, and the Automated Vehicle Exemption Program was extended to domestically produced vehicles. The 2,500-vehicle annual cap on Part 555 exemptions remains. In 2026, NHTSA proposed amending FMVSS Nos. 102, 103, and 104 (March 16) and No. 135, light vehicle brakes (June 26), to accommodate ADS vehicles without manual controls. On June 26, it also withdrew the January 2025 proposal for the voluntary AV STEP program.</w:t>
      </w:r>
    </w:p>
    <w:p>
      <w:pPr>
        <w:pStyle w:val="ListParagraph"/>
        <w:numPr>
          <w:ilvl w:val="0"/>
          <w:numId w:val="1"/>
        </w:numPr>
        <w:spacing w:after="80"/>
      </w:pPr>
      <w:r>
        <w:rPr>
          <w:b/>
          <w:bCs/>
        </w:rPr>
        <w:t xml:space="preserve">Federal legislation.</w:t>
      </w:r>
      <w:r>
        <w:t xml:space="preserve">The SELF DRIVE Act of 2026, H.R. 7390 (119th Cong.), would establish a federal AV safety framework and preempt conflicting state requirements. On February 10, 2026, the House Energy and Commerce Subcommittee on Commerce, Manufacturing, and Trade forwarded it to the full committee by a 12&amp;ndash;11 vote. It has not been enacted. Supporters cite the need for a national standard. Opponents, including the subcommittee's Democratic members, object to preempting state safety authority.</w:t>
      </w:r>
    </w:p>
    <w:p>
      <w:pPr>
        <w:pStyle w:val="ListParagraph"/>
        <w:numPr>
          <w:ilvl w:val="0"/>
          <w:numId w:val="1"/>
        </w:numPr>
        <w:spacing w:after="80"/>
      </w:pPr>
      <w:r>
        <w:rPr>
          <w:b/>
          <w:bCs/>
        </w:rPr>
        <w:t xml:space="preserve">Insurance data.</w:t>
      </w:r>
      <w:r>
        <w:t xml:space="preserve">A December 2024 Swiss Re study of 25.3 million Waymo driverless miles reported 88 percent fewer property damage claims and 92 percent fewer bodily injury claims than a human-driven baseline.</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Open Sans" w:cs="Open Sans" w:eastAsia="Open Sans" w:hAnsi="Open Sans"/>
        <w:color w:val="999999"/>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Montserrat" w:cs="Montserrat" w:eastAsia="Montserrat" w:hAnsi="Montserrat"/>
        <w:color w:val="999999"/>
        <w:sz w:val="16"/>
        <w:szCs w:val="16"/>
      </w:rPr>
      <w:t xml:space="preserve">TalksOnLaw — Written Materials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Open Sans" w:cs="Open Sans" w:eastAsia="Open Sans" w:hAnsi="Open Sans"/>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240"/>
    </w:pPr>
    <w:rPr>
      <w:rFonts w:ascii="Montserrat" w:cs="Montserrat" w:eastAsia="Montserrat" w:hAnsi="Montserrat"/>
      <w:b/>
      <w:bCs/>
      <w:sz w:val="36"/>
      <w:szCs w:val="36"/>
    </w:rPr>
  </w:style>
  <w:style w:type="paragraph" w:styleId="Heading2">
    <w:name w:val="Heading 2"/>
    <w:basedOn w:val="Normal"/>
    <w:next w:val="Normal"/>
    <w:qFormat/>
    <w:pPr>
      <w:spacing w:after="120" w:before="200"/>
    </w:pPr>
    <w:rPr>
      <w:rFonts w:ascii="Montserrat" w:cs="Montserrat" w:eastAsia="Montserrat" w:hAnsi="Montserrat"/>
      <w:b/>
      <w:bCs/>
      <w:sz w:val="30"/>
      <w:szCs w:val="30"/>
    </w:rPr>
  </w:style>
  <w:style w:type="paragraph" w:styleId="Heading3">
    <w:name w:val="Heading 3"/>
    <w:basedOn w:val="Normal"/>
    <w:next w:val="Normal"/>
    <w:qFormat/>
    <w:pPr>
      <w:spacing w:after="100" w:before="160"/>
    </w:pPr>
    <w:rPr>
      <w:rFonts w:ascii="Montserrat" w:cs="Montserrat" w:eastAsia="Montserrat" w:hAnsi="Montserrat"/>
      <w:b/>
      <w:bCs/>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2026-10-05T21:23:18.864Z</dcterms:created>
  <dcterms:modified xsi:type="dcterms:W3CDTF">2026-10-05T21:23:18.865Z</dcterms:modified>
</cp:coreProperties>
</file>

<file path=docProps/custom.xml><?xml version="1.0" encoding="utf-8"?>
<Properties xmlns="http://schemas.openxmlformats.org/officeDocument/2006/custom-properties" xmlns:vt="http://schemas.openxmlformats.org/officeDocument/2006/docPropsVTypes"/>
</file>