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Dance as Intellectual Property</w:t>
      </w:r>
    </w:p>
    <w:p>
      <w:pPr>
        <w:spacing w:after="200"/>
      </w:pPr>
      <w:r>
        <w:rPr>
          <w:rFonts w:ascii="Montserrat" w:cs="Montserrat" w:eastAsia="Montserrat" w:hAnsi="Montserrat"/>
          <w:b/>
          <w:bCs/>
          <w:color w:val="E87722"/>
          <w:sz w:val="24"/>
          <w:szCs w:val="24"/>
        </w:rPr>
        <w:t xml:space="preserve">Elena M. Paul</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legal framework underlying a professional nonprofit dance company, with a focus on intellectual property in choreography. It addresses copyright protection for choreographic works, ownership of choreography created by artistic directors and resident choreographers, licensing practices in the dance world, performers' rights and collective bargaining, the nonprofit business model, and the tax treatment of corporate sponsorships.</w:t>
      </w:r>
    </w:p>
    <w:p>
      <w:pPr>
        <w:pStyle w:val="Heading2"/>
        <w:spacing w:after="120" w:before="240"/>
      </w:pPr>
      <w:r>
        <w:rPr>
          <w:b/>
          <w:bCs/>
        </w:rPr>
        <w:t xml:space="preserve">Copyright in Choreographic Works</w:t>
      </w:r>
    </w:p>
    <w:p>
      <w:pPr>
        <w:spacing w:after="160"/>
      </w:pPr>
      <w:r>
        <w:t xml:space="preserve">The Copyright Act of 1976 expressly lists "pantomimes and choreographic works" among the categories of protectable works, 17 U.S.C. § 102(a)(4), provided they are original and fixed in a tangible medium such as video, notation, or written description. The U.S. Copyright Office's Compendium of Practices (§ 805) describes choreography as the composition and arrangement of a related series of dance movements and patterns organized into a coherent whole, and states that individual movements, social dances, and simple routines are not registrable. In Horgan v. Macmillan, Inc. (2d Cir. 1986), the court held that still photographs of a Balanchine ballet could infringe the choreographic copyright, recognizing that a choreographic work may be infringed by a medium other than performance. The guest explains that the choreographer is the author of a dance, distinct from the performers who execute it.</w:t>
      </w:r>
    </w:p>
    <w:p>
      <w:pPr>
        <w:pStyle w:val="Heading2"/>
        <w:spacing w:after="120" w:before="240"/>
      </w:pPr>
      <w:r>
        <w:rPr>
          <w:b/>
          <w:bCs/>
        </w:rPr>
        <w:t xml:space="preserve">Ownership: Work for Hire and the Graham Litigation</w:t>
      </w:r>
    </w:p>
    <w:p>
      <w:pPr>
        <w:spacing w:after="160"/>
      </w:pPr>
      <w:r>
        <w:t xml:space="preserve">Under 17 U.S.C. § 201(b), a work prepared by an employee within the scope of employment is a work made for hire owned by the employer absent a written agreement to the contrary. In Martha Graham School and Dance Foundation, Inc. v. Martha Graham Center of Contemporary Dance, Inc., 380 F.3d 624 (2d Cir. 2004), the Second Circuit held that most of the dances Martha Graham created after 1966, while employed by the nonprofit center she founded, were works made for hire owned by the center rather than by her estate's legatee, while dances created before her employment or under commission belonged as their individual circumstances dictated. The guest describes the litigation as the event that prompted dance companies to address ownership and succession planning, and notes the tension between legal default rules and the dance community's cultural assumption that choreographers own their work.</w:t>
      </w:r>
    </w:p>
    <w:p>
      <w:pPr>
        <w:pStyle w:val="Heading2"/>
        <w:spacing w:after="120" w:before="240"/>
      </w:pPr>
      <w:r>
        <w:rPr>
          <w:b/>
          <w:bCs/>
        </w:rPr>
        <w:t xml:space="preserve">Licensing Choreography and Related Rights</w:t>
      </w:r>
    </w:p>
    <w:p>
      <w:pPr>
        <w:spacing w:after="160"/>
      </w:pPr>
      <w:r>
        <w:t xml:space="preserve">Dance companies typically license works from living choreographers for a term of years, commonly three, and the license is bundled with the choreographer's or a designated répétiteur's services in staging the work. Licenses commonly restrict alteration of the choreography, costumes, lighting, and music, and condition use of the choreographer's name on approval of the production; entities such as the George Balanchine Trust administer such licenses for deceased choreographers. Related rights that must be cleared include music synchronization and performance rights (typically through publishers and performing rights organizations), and rights in set, costume, and lighting designs, which are usually licensed together with the designer's services. The guest notes that these arrangements function partly as copyright licenses and partly as trademark-like controls over attribution.</w:t>
      </w:r>
    </w:p>
    <w:p>
      <w:pPr>
        <w:pStyle w:val="Heading2"/>
        <w:spacing w:after="120" w:before="240"/>
      </w:pPr>
      <w:r>
        <w:rPr>
          <w:b/>
          <w:bCs/>
        </w:rPr>
        <w:t xml:space="preserve">Trademark and Name Rights</w:t>
      </w:r>
    </w:p>
    <w:p>
      <w:pPr>
        <w:spacing w:after="160"/>
      </w:pPr>
      <w:r>
        <w:t xml:space="preserve">A choreographer's or company's name may be protected under the Lanham Act and state law as a mark identifying the source of performances, and disputes over the right to use a founder's name, as in the Graham litigation, are resolved under trademark and contract principles rather than copyright.</w:t>
      </w:r>
    </w:p>
    <w:p>
      <w:pPr>
        <w:pStyle w:val="Heading2"/>
        <w:spacing w:after="120" w:before="240"/>
      </w:pPr>
      <w:r>
        <w:rPr>
          <w:b/>
          <w:bCs/>
        </w:rPr>
        <w:t xml:space="preserve">Performers' Rights and Collective Bargaining</w:t>
      </w:r>
    </w:p>
    <w:p>
      <w:pPr>
        <w:spacing w:after="160"/>
      </w:pPr>
      <w:r>
        <w:t xml:space="preserve">Dancers in major companies are employed under individual contracts and, in unionized companies, under collective bargaining agreements with the American Guild of Musical Artists (AGMA), which govern compensation, working hours, rest periods, travel conditions, and safety. Performers do not ordinarily acquire rights in the choreography they perform. Use of a dancer's name, image, or likeness to promote the company is generally within the scope of the employment contract, while use in third-party commercial advertising requires separate consent and compensation under state right-of-publicity law, including New York Civil Rights Law §§ 50–51.</w:t>
      </w:r>
    </w:p>
    <w:p>
      <w:pPr>
        <w:pStyle w:val="Heading2"/>
        <w:spacing w:after="120" w:before="240"/>
      </w:pPr>
      <w:r>
        <w:rPr>
          <w:b/>
          <w:bCs/>
        </w:rPr>
        <w:t xml:space="preserve">Nonprofit Structure and Qualified Sponsorship Payments</w:t>
      </w:r>
    </w:p>
    <w:p>
      <w:pPr>
        <w:spacing w:after="160"/>
      </w:pPr>
      <w:r>
        <w:t xml:space="preserve">Major American dance companies are organized as charitable organizations exempt from federal income tax under Internal Revenue Code § 501(c)(3), supported by contributions, grants, and earned revenue. Income from an unrelated trade or business, including the sale of advertising, is subject to unrelated business income tax under §§ 511–513. Section 513(i) and Treasury Regulation § 1.513-4 exclude "qualified sponsorship payments," under which a sponsor receives only acknowledgment — including its name, logo, slogans that do not contain qualitative or comparative descriptions, and product displays — from the definition of unrelated business income. Acknowledgments that include qualitative or comparative language, price information, endorsements, or inducements to purchase constitute advertising. The guest describes the practical difficulty presented by trademarked slogans containing qualitative claims and by sponsorships originating in corporate marketing departments.</w:t>
      </w:r>
    </w:p>
    <w:p>
      <w:pPr>
        <w:pStyle w:val="Heading2"/>
        <w:spacing w:after="120" w:before="240"/>
      </w:pPr>
      <w:r>
        <w:rPr>
          <w:b/>
          <w:bCs/>
        </w:rPr>
        <w:t xml:space="preserve">Developments to Know</w:t>
      </w:r>
    </w:p>
    <w:p>
      <w:pPr>
        <w:spacing w:after="160"/>
      </w:pPr>
      <w:r>
        <w:t xml:space="preserve">In Bikram's Yoga College of India, L.P. v. Evolation Yoga, LLC, 803 F.3d 1032 (9th Cir. 2015), the Ninth Circuit held that a sequence of twenty-six yoga poses and two breathing exercises is an idea, process, or system excluded from copyright protection under 17 U.S.C. § 102(b), and is not a choreographic work. The Copyright Office's 2017 revision of the Compendium and Circular 52 reaffirmed that individual dance steps, short routines, and social dances are not registrable as choreography; on that basis, infringement suits filed in 2018 and 2019 by performers including Alfonso Ribeiro over "emotes" sold in the video game Fortnite were withdrawn after the Copyright Office refused registration. In Hanagami v. Epic Games, Inc., 85 F.4th 931 (9th Cir. 2023), the Ninth Circuit reversed the dismissal of a professional choreographer's claim that a Fortnite emote copied a registered choreographic work, holding that the district court erred by reducing the work to a series of poses and that substantial similarity must be assessed with reference to the selection and arrangement of elements including body position, movement, timing, transitions, use of space, and energy; the case settled following remand. Legacy planning structures on the model of the George Balanchine Trust and the Merce Cunningham Trust, and separation of choreographic assets into entities distinct from operating companies, have become standard practice. Alicia Graf Mack succeeded Robert Battle as artistic director of Alvin Ailey American Dance Theater in 2024.</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2026-09-24T06:26:35.292Z</dcterms:created>
  <dcterms:modified xsi:type="dcterms:W3CDTF">2026-09-24T06:26:35.292Z</dcterms:modified>
</cp:coreProperties>
</file>

<file path=docProps/custom.xml><?xml version="1.0" encoding="utf-8"?>
<Properties xmlns="http://schemas.openxmlformats.org/officeDocument/2006/custom-properties" xmlns:vt="http://schemas.openxmlformats.org/officeDocument/2006/docPropsVTypes"/>
</file>