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A Shift in Funds</w:t>
      </w:r>
    </w:p>
    <w:p>
      <w:pPr>
        <w:spacing w:after="200"/>
      </w:pPr>
      <w:r>
        <w:rPr>
          <w:rFonts w:ascii="Montserrat" w:cs="Montserrat" w:eastAsia="Montserrat" w:hAnsi="Montserrat"/>
          <w:b/>
          <w:bCs/>
          <w:color w:val="E87722"/>
          <w:sz w:val="24"/>
          <w:szCs w:val="24"/>
        </w:rPr>
        <w:t xml:space="preserve">Ira Kustin</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legal structure of private investment funds and the evolution of hedge fund and private equity fund terms. It covers the private offering and investment company exemptions, traditional open-end and closed-end structures, liquidity management tools (side pockets, suspensions, gates, classes and series, and sidecar vehicles), private equity end-of-life solutions, barriers to launching new funds, and developments since 2019, including continuation funds, semi-liquid products, and SEC rulemaking.</w:t>
      </w:r>
    </w:p>
    <w:p>
      <w:pPr>
        <w:pStyle w:val="Heading2"/>
        <w:spacing w:after="120" w:before="240"/>
      </w:pPr>
      <w:r>
        <w:rPr>
          <w:b/>
          <w:bCs/>
        </w:rPr>
        <w:t xml:space="preserve">Learning Objectives</w:t>
      </w:r>
    </w:p>
    <w:p>
      <w:pPr>
        <w:pStyle w:val="ListParagraph"/>
        <w:numPr>
          <w:ilvl w:val="0"/>
          <w:numId w:val="1"/>
        </w:numPr>
        <w:spacing w:after="80"/>
      </w:pPr>
      <w:r>
        <w:t xml:space="preserve">Identify the exemptions that allow private funds to avoid registration under the Securities Act and the Investment Company Act.</w:t>
      </w:r>
    </w:p>
    <w:p>
      <w:pPr>
        <w:pStyle w:val="ListParagraph"/>
        <w:numPr>
          <w:ilvl w:val="0"/>
          <w:numId w:val="1"/>
        </w:numPr>
        <w:spacing w:after="80"/>
      </w:pPr>
      <w:r>
        <w:t xml:space="preserve">Compare liquidity terms and tools in hedge funds and private equity funds.</w:t>
      </w:r>
    </w:p>
    <w:p>
      <w:pPr>
        <w:pStyle w:val="ListParagraph"/>
        <w:numPr>
          <w:ilvl w:val="0"/>
          <w:numId w:val="1"/>
        </w:numPr>
        <w:spacing w:after="80"/>
      </w:pPr>
      <w:r>
        <w:t xml:space="preserve">Draft and negotiate provisions addressing illiquid assets, withdrawals, and fund term extensions.</w:t>
      </w:r>
    </w:p>
    <w:p>
      <w:pPr>
        <w:pStyle w:val="ListParagraph"/>
        <w:numPr>
          <w:ilvl w:val="0"/>
          <w:numId w:val="1"/>
        </w:numPr>
        <w:spacing w:after="80"/>
      </w:pPr>
      <w:r>
        <w:t xml:space="preserve">Analyze conflicts in GP-led secondaries and continuation vehicles.</w:t>
      </w:r>
    </w:p>
    <w:p>
      <w:pPr>
        <w:pStyle w:val="ListParagraph"/>
        <w:numPr>
          <w:ilvl w:val="0"/>
          <w:numId w:val="1"/>
        </w:numPr>
        <w:spacing w:after="80"/>
      </w:pPr>
      <w:r>
        <w:t xml:space="preserve">Apply advertising and recordkeeping rules to the use of track records.</w:t>
      </w:r>
    </w:p>
    <w:p>
      <w:pPr>
        <w:pStyle w:val="Heading2"/>
        <w:spacing w:after="120" w:before="240"/>
      </w:pPr>
      <w:r>
        <w:rPr>
          <w:b/>
          <w:bCs/>
        </w:rPr>
        <w:t xml:space="preserve">Why Private Funds Are "Private"</w:t>
      </w:r>
    </w:p>
    <w:p>
      <w:pPr>
        <w:pStyle w:val="ListParagraph"/>
        <w:numPr>
          <w:ilvl w:val="0"/>
          <w:numId w:val="1"/>
        </w:numPr>
        <w:spacing w:after="80"/>
      </w:pPr>
      <w:r>
        <w:rPr>
          <w:b/>
          <w:bCs/>
        </w:rPr>
        <w:t xml:space="preserve">Securities Act.</w:t>
      </w:r>
      <w:r>
        <w:t xml:space="preserve">Interests are offered in private placements under section 4(a)(2) and Regulation D, principally Rule 506(b) or 506(c), 17 C.F.R. § 230.506, generally to accredited investors (Rule 501(a), as amended 2020).</w:t>
      </w:r>
    </w:p>
    <w:p>
      <w:pPr>
        <w:pStyle w:val="ListParagraph"/>
        <w:numPr>
          <w:ilvl w:val="0"/>
          <w:numId w:val="1"/>
        </w:numPr>
        <w:spacing w:after="80"/>
      </w:pPr>
      <w:r>
        <w:rPr>
          <w:b/>
          <w:bCs/>
        </w:rPr>
        <w:t xml:space="preserve">Investment Company Act.</w:t>
      </w:r>
      <w:r>
        <w:t xml:space="preserve">Funds rely on section 3(c)(1), 15 U.S.C. § 80a-3(c)(1) (no more than 100 beneficial owners, or 250 for qualifying venture funds), or section 3(c)(7) (all investors are "qualified purchasers," generally individuals with at least $5 million in investments, § 80a-2(a)(51)).</w:t>
      </w:r>
    </w:p>
    <w:p>
      <w:pPr>
        <w:pStyle w:val="ListParagraph"/>
        <w:numPr>
          <w:ilvl w:val="0"/>
          <w:numId w:val="1"/>
        </w:numPr>
        <w:spacing w:after="80"/>
      </w:pPr>
      <w:r>
        <w:rPr>
          <w:b/>
          <w:bCs/>
        </w:rPr>
        <w:t xml:space="preserve">Advisers.</w:t>
      </w:r>
      <w:r>
        <w:t xml:space="preserve">Most private fund advisers with at least $150 million in private fund assets must register with the SEC under the Advisers Act, 15 U.S.C. § 80b-3, as amended by the Dodd-Frank Act (2010). Carried interest generally requires that investors be "qualified clients." 17 C.F.R. § 275.205-3.</w:t>
      </w:r>
    </w:p>
    <w:p>
      <w:pPr>
        <w:pStyle w:val="ListParagraph"/>
        <w:numPr>
          <w:ilvl w:val="0"/>
          <w:numId w:val="1"/>
        </w:numPr>
        <w:spacing w:after="80"/>
      </w:pPr>
      <w:r>
        <w:rPr>
          <w:b/>
          <w:bCs/>
        </w:rPr>
        <w:t xml:space="preserve">Commodity interests.</w:t>
      </w:r>
      <w:r>
        <w:t xml:space="preserve">Funds trading futures or swaps may require CFTC registration or exemption as commodity pool operators. 17 C.F.R. § 4.13.</w:t>
      </w:r>
    </w:p>
    <w:p>
      <w:pPr>
        <w:pStyle w:val="Heading2"/>
        <w:spacing w:after="120" w:before="240"/>
      </w:pPr>
      <w:r>
        <w:rPr>
          <w:b/>
          <w:bCs/>
        </w:rPr>
        <w:t xml:space="preserve">Traditional Structures</w:t>
      </w:r>
    </w:p>
    <w:p>
      <w:pPr>
        <w:pStyle w:val="ListParagraph"/>
        <w:numPr>
          <w:ilvl w:val="0"/>
          <w:numId w:val="1"/>
        </w:numPr>
        <w:spacing w:after="80"/>
      </w:pPr>
      <w:r>
        <w:rPr>
          <w:b/>
          <w:bCs/>
        </w:rPr>
        <w:t xml:space="preserve">Hedge funds</w:t>
      </w:r>
      <w:r>
        <w:t xml:space="preserve">are open-end: after any lock-up, investors may withdraw periodically on notice, often subject to redemption fees or gates, and portfolios are primarily liquid.</w:t>
      </w:r>
    </w:p>
    <w:p>
      <w:pPr>
        <w:pStyle w:val="ListParagraph"/>
        <w:numPr>
          <w:ilvl w:val="0"/>
          <w:numId w:val="1"/>
        </w:numPr>
        <w:spacing w:after="80"/>
      </w:pPr>
      <w:r>
        <w:rPr>
          <w:b/>
          <w:bCs/>
        </w:rPr>
        <w:t xml:space="preserve">Private equity funds</w:t>
      </w:r>
      <w:r>
        <w:t xml:space="preserve">are closed-end: investors commit capital drawn down during an investment period (commonly five to six years), and proceeds are distributed during the harvest period over a term of about ten years, with limited extensions. Transfers require the general partner's consent.</w:t>
      </w:r>
    </w:p>
    <w:p>
      <w:pPr>
        <w:pStyle w:val="Heading2"/>
        <w:spacing w:after="120" w:before="240"/>
      </w:pPr>
      <w:r>
        <w:rPr>
          <w:b/>
          <w:bCs/>
        </w:rPr>
        <w:t xml:space="preserve">Liquidity Management Tools</w:t>
      </w:r>
    </w:p>
    <w:p>
      <w:pPr>
        <w:pStyle w:val="ListParagraph"/>
        <w:numPr>
          <w:ilvl w:val="0"/>
          <w:numId w:val="1"/>
        </w:numPr>
        <w:spacing w:after="80"/>
      </w:pPr>
      <w:r>
        <w:rPr>
          <w:b/>
          <w:bCs/>
        </w:rPr>
        <w:t xml:space="preserve">Side pockets</w:t>
      </w:r>
      <w:r>
        <w:t xml:space="preserve">segregate illiquid or hard-to-value investments, typically capped at 10–20 percent of capital, and are excluded from redemptions until realized. Investors negotiate caps, valuation, and fee treatment.</w:t>
      </w:r>
    </w:p>
    <w:p>
      <w:pPr>
        <w:pStyle w:val="ListParagraph"/>
        <w:numPr>
          <w:ilvl w:val="0"/>
          <w:numId w:val="1"/>
        </w:numPr>
        <w:spacing w:after="80"/>
      </w:pPr>
      <w:r>
        <w:rPr>
          <w:b/>
          <w:bCs/>
        </w:rPr>
        <w:t xml:space="preserve">Suspension</w:t>
      </w:r>
      <w:r>
        <w:t xml:space="preserve">provisions permit halting redemptions or NAV calculations in defined circumstances, such as market closures or valuation difficulties.</w:t>
      </w:r>
    </w:p>
    <w:p>
      <w:pPr>
        <w:pStyle w:val="ListParagraph"/>
        <w:numPr>
          <w:ilvl w:val="0"/>
          <w:numId w:val="1"/>
        </w:numPr>
        <w:spacing w:after="80"/>
      </w:pPr>
      <w:r>
        <w:rPr>
          <w:b/>
          <w:bCs/>
        </w:rPr>
        <w:t xml:space="preserve">Gates</w:t>
      </w:r>
      <w:r>
        <w:t xml:space="preserve">limit withdrawals per period at the investor level, fund level, or both, and may be applied pro rata. Managers typically retain discretion to waive them.</w:t>
      </w:r>
    </w:p>
    <w:p>
      <w:pPr>
        <w:pStyle w:val="ListParagraph"/>
        <w:numPr>
          <w:ilvl w:val="0"/>
          <w:numId w:val="1"/>
        </w:numPr>
        <w:spacing w:after="80"/>
      </w:pPr>
      <w:r>
        <w:rPr>
          <w:b/>
          <w:bCs/>
        </w:rPr>
        <w:t xml:space="preserve">Slow-pay/fast-pay</w:t>
      </w:r>
      <w:r>
        <w:t xml:space="preserve">provisions divide redemption proceeds between liquid and illiquid portions.</w:t>
      </w:r>
    </w:p>
    <w:p>
      <w:pPr>
        <w:pStyle w:val="ListParagraph"/>
        <w:numPr>
          <w:ilvl w:val="0"/>
          <w:numId w:val="1"/>
        </w:numPr>
        <w:spacing w:after="80"/>
      </w:pPr>
      <w:r>
        <w:rPr>
          <w:b/>
          <w:bCs/>
        </w:rPr>
        <w:t xml:space="preserve">Classes and series</w:t>
      </w:r>
      <w:r>
        <w:t xml:space="preserve">provide different liquidity terms within one fund. Adding them to an existing fund typically requires investor consent under the governing documents.</w:t>
      </w:r>
    </w:p>
    <w:p>
      <w:pPr>
        <w:pStyle w:val="ListParagraph"/>
        <w:numPr>
          <w:ilvl w:val="0"/>
          <w:numId w:val="1"/>
        </w:numPr>
        <w:spacing w:after="80"/>
      </w:pPr>
      <w:r>
        <w:rPr>
          <w:b/>
          <w:bCs/>
        </w:rPr>
        <w:t xml:space="preserve">Sidecar, overflow, and co-investment vehicles</w:t>
      </w:r>
      <w:r>
        <w:t xml:space="preserve">hold investments too large or illiquid for the main fund, raising allocation and conflict issues that must be disclosed and managed consistent with the adviser's fiduciary duty.</w:t>
      </w:r>
    </w:p>
    <w:p>
      <w:pPr>
        <w:pStyle w:val="Heading2"/>
        <w:spacing w:after="120" w:before="240"/>
      </w:pPr>
      <w:r>
        <w:rPr>
          <w:b/>
          <w:bCs/>
        </w:rPr>
        <w:t xml:space="preserve">Private Equity End-of-Life Issues</w:t>
      </w:r>
    </w:p>
    <w:p>
      <w:pPr>
        <w:spacing w:after="160"/>
      </w:pPr>
      <w:r>
        <w:t xml:space="preserve">Options for remaining assets at the end of a fund's term include extensions (often two one-year extensions at the GP's discretion, with further extensions requiring LP or advisory committee consent), sales on the secondary market, transfers to liquidating trusts or special purpose vehicles, and GP-led continuation vehicles. Management fees are frequently reduced or waived during extensions. These transactions present conflicts because the GP is on both sides. Best practice includes independent valuation or fairness opinions, limited partner advisory committee (LPAC) review, and giving investors a choice to sell or roll over. See ILPA,</w:t>
      </w:r>
      <w:r>
        <w:rPr>
          <w:i/>
          <w:iCs/>
        </w:rPr>
        <w:t xml:space="preserve">Continuation Funds: Considerations for Limited Partners and General Partners</w:t>
      </w:r>
      <w:r>
        <w:t xml:space="preserve">(2023).</w:t>
      </w:r>
    </w:p>
    <w:p>
      <w:pPr>
        <w:pStyle w:val="Heading2"/>
        <w:spacing w:after="120" w:before="240"/>
      </w:pPr>
      <w:r>
        <w:rPr>
          <w:b/>
          <w:bCs/>
        </w:rPr>
        <w:t xml:space="preserve">Launching New Funds and Track Records</w:t>
      </w:r>
    </w:p>
    <w:p>
      <w:pPr>
        <w:spacing w:after="160"/>
      </w:pPr>
      <w:r>
        <w:t xml:space="preserve">Institutional allocators conduct extensive operational due diligence, reflecting their own fiduciary obligations. For example, public pension trustees are bound by state prudence standards. Emerging managers face higher barriers and often succeed through specialized strategies. Performance advertising is governed by the Investment Adviser Marketing Rule, 17 C.F.R. § 275.206(4)-1 (adopted Dec. 2020, compliance Nov. 2022), which permits predecessor performance only if the personnel primarily responsible for it manage the new accounts, the accounts are sufficiently similar, and the adviser can satisfy recordkeeping requirements. Rule 204-2(a)(16) requires retention of records supporting performance. Employment agreements may restrict a departing manager's use of prior performance and records.</w:t>
      </w:r>
    </w:p>
    <w:p>
      <w:pPr>
        <w:pStyle w:val="Heading2"/>
        <w:spacing w:after="120" w:before="240"/>
      </w:pPr>
      <w:r>
        <w:rPr>
          <w:b/>
          <w:bCs/>
        </w:rPr>
        <w:t xml:space="preserve">Developments to Know</w:t>
      </w:r>
    </w:p>
    <w:p>
      <w:pPr>
        <w:pStyle w:val="ListParagraph"/>
        <w:numPr>
          <w:ilvl w:val="0"/>
          <w:numId w:val="1"/>
        </w:numPr>
        <w:spacing w:after="80"/>
      </w:pPr>
      <w:r>
        <w:rPr>
          <w:b/>
          <w:bCs/>
        </w:rPr>
        <w:t xml:space="preserve">Private Fund Adviser Rules vacated.</w:t>
      </w:r>
      <w:r>
        <w:t xml:space="preserve">The SEC's 2023 rules on quarterly statements, audits, restricted activities, and preferential treatment were vacated in</w:t>
      </w:r>
      <w:r>
        <w:rPr>
          <w:i/>
          <w:iCs/>
        </w:rPr>
        <w:t xml:space="preserve">National Association of Private Fund Managers v. SEC</w:t>
      </w:r>
      <w:r>
        <w:t xml:space="preserve">, 103 F.4th 1097 (5th Cir. 2024).</w:t>
      </w:r>
    </w:p>
    <w:p>
      <w:pPr>
        <w:pStyle w:val="ListParagraph"/>
        <w:numPr>
          <w:ilvl w:val="0"/>
          <w:numId w:val="1"/>
        </w:numPr>
        <w:spacing w:after="80"/>
      </w:pPr>
      <w:r>
        <w:rPr>
          <w:b/>
          <w:bCs/>
        </w:rPr>
        <w:t xml:space="preserve">Form PF.</w:t>
      </w:r>
      <w:r>
        <w:t xml:space="preserve">The SEC amended Form PF in 2023 to add current and quarterly event reporting, and the SEC and CFTC jointly amended it in 2024. Compliance with the 2024 amendments was extended to July 1, 2027, and an April 2026 joint proposal would raise the filing threshold from $150 million to $1 billion, raise the large hedge fund adviser threshold, and eliminate quarterly event reporting for private equity advisers.</w:t>
      </w:r>
    </w:p>
    <w:p>
      <w:pPr>
        <w:pStyle w:val="ListParagraph"/>
        <w:numPr>
          <w:ilvl w:val="0"/>
          <w:numId w:val="1"/>
        </w:numPr>
        <w:spacing w:after="80"/>
      </w:pPr>
      <w:r>
        <w:rPr>
          <w:b/>
          <w:bCs/>
        </w:rPr>
        <w:t xml:space="preserve">Continuation funds and secondaries.</w:t>
      </w:r>
      <w:r>
        <w:t xml:space="preserve">GP-led secondary transactions became a major liquidity channel from 2020 onward, and LPs increasingly negotiate procedural protections in them.</w:t>
      </w:r>
    </w:p>
    <w:p>
      <w:pPr>
        <w:pStyle w:val="ListParagraph"/>
        <w:numPr>
          <w:ilvl w:val="0"/>
          <w:numId w:val="1"/>
        </w:numPr>
        <w:spacing w:after="80"/>
      </w:pPr>
      <w:r>
        <w:rPr>
          <w:b/>
          <w:bCs/>
        </w:rPr>
        <w:t xml:space="preserve">Semi-liquid and evergreen products.</w:t>
      </w:r>
      <w:r>
        <w:t xml:space="preserve">Non-traded REITs, BDCs, and interval and tender-offer funds (governed by 17 C.F.R. § 270.23c-3 and Exchange Act Rule 13e-4) expanded private-market access for individuals. Several large vehicles limited redemptions under their stated caps in 2022–2023.</w:t>
      </w:r>
    </w:p>
    <w:p>
      <w:pPr>
        <w:pStyle w:val="ListParagraph"/>
        <w:numPr>
          <w:ilvl w:val="0"/>
          <w:numId w:val="1"/>
        </w:numPr>
        <w:spacing w:after="80"/>
      </w:pPr>
      <w:r>
        <w:rPr>
          <w:b/>
          <w:bCs/>
        </w:rPr>
        <w:t xml:space="preserve">Retail and retirement access.</w:t>
      </w:r>
      <w:r>
        <w:t xml:space="preserve">SEC staff in 2025 relaxed limits on registered closed-end funds investing in private funds, and an August 2025 executive order directed agencies to facilitate alternative assets in 401(k) plans. In March 2026 the Labor Department proposed a process-based fiduciary safe harbor for selecting such investments.</w:t>
      </w:r>
    </w:p>
    <w:p>
      <w:pPr>
        <w:pStyle w:val="ListParagraph"/>
        <w:numPr>
          <w:ilvl w:val="0"/>
          <w:numId w:val="1"/>
        </w:numPr>
        <w:spacing w:after="80"/>
      </w:pPr>
      <w:r>
        <w:rPr>
          <w:b/>
          <w:bCs/>
        </w:rPr>
        <w:t xml:space="preserve">Industry consolidation.</w:t>
      </w:r>
      <w:r>
        <w:t xml:space="preserve">Large asset managers have acquired alternatives, private credit, and infrastructure managers, reflecting the multi-product platform model Kustin predicted.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2026-09-28T18:13:13.780Z</dcterms:created>
  <dcterms:modified xsi:type="dcterms:W3CDTF">2026-09-28T18:13:13.780Z</dcterms:modified>
</cp:coreProperties>
</file>

<file path=docProps/custom.xml><?xml version="1.0" encoding="utf-8"?>
<Properties xmlns="http://schemas.openxmlformats.org/officeDocument/2006/custom-properties" xmlns:vt="http://schemas.openxmlformats.org/officeDocument/2006/docPropsVTypes"/>
</file>