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Celebrity Justice &amp; High Profile Defense</w:t>
      </w:r>
    </w:p>
    <w:p>
      <w:pPr>
        <w:spacing w:after="200"/>
      </w:pPr>
      <w:r>
        <w:rPr>
          <w:rFonts w:ascii="Montserrat" w:cs="Montserrat" w:eastAsia="Montserrat" w:hAnsi="Montserrat"/>
          <w:b/>
          <w:bCs/>
          <w:color w:val="E87722"/>
          <w:sz w:val="24"/>
          <w:szCs w:val="24"/>
        </w:rPr>
        <w:t xml:space="preserve">Benjamin Brafman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defense of high-profile and celebrity clients in criminal proceedings. Drawing on the guest's experience representing entertainers, athletes, and public figures, it addresses whether celebrity defendants receive different treatment, the debate over cameras in the courtroom, the management of media and extrajudicial statements, attorney-client privilege where publicists and advisors are involved, collateral consequences unique to public figures, and the presumption of innocence in the face of pretrial publicity.</w:t>
      </w:r>
    </w:p>
    <w:p>
      <w:pPr>
        <w:pStyle w:val="Heading2"/>
        <w:spacing w:after="120" w:before="240"/>
      </w:pPr>
      <w:r>
        <w:rPr>
          <w:b/>
          <w:bCs/>
        </w:rPr>
        <w:t xml:space="preserve">Equal Treatment and the Celebrity Defendant</w:t>
      </w:r>
    </w:p>
    <w:p>
      <w:pPr>
        <w:spacing w:after="160"/>
      </w:pPr>
      <w:r>
        <w:t xml:space="preserve">The guest contends that public figures are frequently subjected to more severe treatment than ordinary defendants, including prosecution in marginal cases and reduced flexibility in plea negotiations. He illustrates the point with the prosecution of a professional football player under New York Penal Law § 265.03, which after a 2006 amendment imposed a mandatory minimum prison sentence of three and one-half years for criminal possession of a loaded firearm in the second degree. The guest describes a negotiated plea to a two-year sentence in circumstances in which, in his experience, anonymous defendants received substantially lighter dispositions. Prosecutorial discretion in charging and plea bargaining is broad and largely unreviewable, and equal protection challenges to selective prosecution require a showing of discriminatory effect and purpose under United States v. Armstrong (1996).</w:t>
      </w:r>
    </w:p>
    <w:p>
      <w:pPr>
        <w:pStyle w:val="Heading2"/>
        <w:spacing w:after="120" w:before="240"/>
      </w:pPr>
      <w:r>
        <w:rPr>
          <w:b/>
          <w:bCs/>
        </w:rPr>
        <w:t xml:space="preserve">Cameras in the Courtroom</w:t>
      </w:r>
    </w:p>
    <w:p>
      <w:pPr>
        <w:spacing w:after="160"/>
      </w:pPr>
      <w:r>
        <w:t xml:space="preserve">In Chandler v. Florida (1981), the Supreme Court held that the Constitution does not prohibit states from permitting television coverage of criminal trials, leaving the question to each jurisdiction. Federal Rule of Criminal Procedure 53 prohibits broadcasting of federal criminal proceedings. New York Civil Rights Law § 52 prohibits the televising or broadcasting of proceedings in which witness testimony is compelled; a series of experimental programs permitting audio-visual coverage in New York courts expired in 1997 and was not renewed. The guest opposes cameras in the courtroom on the ground that they alter the conduct of lawyers and judges and lengthen proceedings, citing the trial of O.J. Simpson.</w:t>
      </w:r>
    </w:p>
    <w:p>
      <w:pPr>
        <w:pStyle w:val="Heading2"/>
        <w:spacing w:after="120" w:before="240"/>
      </w:pPr>
      <w:r>
        <w:rPr>
          <w:b/>
          <w:bCs/>
        </w:rPr>
        <w:t xml:space="preserve">Extrajudicial Statements and Trial Publicity</w:t>
      </w:r>
    </w:p>
    <w:p>
      <w:pPr>
        <w:spacing w:after="160"/>
      </w:pPr>
      <w:r>
        <w:t xml:space="preserve">Rule 3.6 of the New York Rules of Professional Conduct prohibits a lawyer participating in a matter from making an extrajudicial statement that the lawyer knows or reasonably should know will be disseminated publicly and will have a substantial likelihood of materially prejudicing an adjudicative proceeding, while permitting statements of the claim or defense, information in the public record, and statements reasonably required to protect a client from the substantial prejudicial effect of recent publicity not initiated by the lawyer. In Gentile v. State Bar of Nevada (1991), the Supreme Court upheld the substantial-likelihood standard while finding the Nevada rule's safe-harbor provision void for vagueness. The guest describes a practice of minimal public comment, illustrated by the prosecution of Dominique Strauss-Kahn, which was dismissed in 2011 after prosecutors concluded that the complainant was not credible.</w:t>
      </w:r>
    </w:p>
    <w:p>
      <w:pPr>
        <w:pStyle w:val="Heading2"/>
        <w:spacing w:after="120" w:before="240"/>
      </w:pPr>
      <w:r>
        <w:rPr>
          <w:b/>
          <w:bCs/>
        </w:rPr>
        <w:t xml:space="preserve">Privilege and Third-Party Consultants</w:t>
      </w:r>
    </w:p>
    <w:p>
      <w:pPr>
        <w:spacing w:after="160"/>
      </w:pPr>
      <w:r>
        <w:t xml:space="preserve">The attorney-client privilege generally is waived by disclosure to third parties. Under United States v. Kovel (2d Cir. 1961), the privilege extends to communications with a non-lawyer retained by counsel where the non-lawyer's participation is necessary to the provision of legal advice. In In re Grand Jury Subpoenas Dated March 24, 2003 (S.D.N.Y. 2003), the court applied the privilege to communications with a public relations firm retained by defense counsel to manage publicity affecting prosecutorial decisions, while other courts have declined to extend the privilege where a consultant's role is found to be reputational rather than legal. Rule 1.6 prohibits disclosure of confidential information absent client consent, and the guest describes limiting communications with a client's advisors and staff to a need-to-know basis.</w:t>
      </w:r>
    </w:p>
    <w:p>
      <w:pPr>
        <w:pStyle w:val="Heading2"/>
        <w:spacing w:after="120" w:before="240"/>
      </w:pPr>
      <w:r>
        <w:rPr>
          <w:b/>
          <w:bCs/>
        </w:rPr>
        <w:t xml:space="preserve">Collateral Consequences for Public Figures</w:t>
      </w:r>
    </w:p>
    <w:p>
      <w:pPr>
        <w:spacing w:after="160"/>
      </w:pPr>
      <w:r>
        <w:t xml:space="preserve">The guest identifies consequences of arrest and prosecution that fall particularly on public figures, including loss of endorsement contracts and the operation of morals clauses in recording, film, and sponsorship agreements, which may permit termination upon arrest or upon conduct that brings the party into public disrepute, without regard to the outcome of criminal proceedings. Professional sports leagues impose separate discipline under collectively bargained conduct policies; the National Football League's Personal Conduct Policy permits suspension for conduct detrimental to the league independent of criminal conviction. The guest contrasts the League's decision to run one player's suspension concurrently with his prison term with the treatment of another player whose suspension extended beyond his release.</w:t>
      </w:r>
    </w:p>
    <w:p>
      <w:pPr>
        <w:pStyle w:val="Heading2"/>
        <w:spacing w:after="120" w:before="240"/>
      </w:pPr>
      <w:r>
        <w:rPr>
          <w:b/>
          <w:bCs/>
        </w:rPr>
        <w:t xml:space="preserve">Presumption of Innocence and Pretrial Publicity</w:t>
      </w:r>
    </w:p>
    <w:p>
      <w:pPr>
        <w:spacing w:after="160"/>
      </w:pPr>
      <w:r>
        <w:t xml:space="preserve">In Sheppard v. Maxwell (1966), the Supreme Court reversed a conviction obtained in an atmosphere of pervasive prejudicial publicity and identified measures available to trial courts, including continuance, change of venue, sequestration, and restrictions on statements by trial participants. Jury selection in high-profile cases typically employs expanded voir dire and questionnaires to identify exposure to publicity. The guest distinguishes celebrity defendants from defendants made prominent by their trials, and observes that many widely publicized prosecutions of public figures end in dismissal or acquittal.</w:t>
      </w:r>
    </w:p>
    <w:p>
      <w:pPr>
        <w:pStyle w:val="Heading2"/>
        <w:spacing w:after="120" w:before="240"/>
      </w:pPr>
      <w:r>
        <w:rPr>
          <w:b/>
          <w:bCs/>
        </w:rPr>
        <w:t xml:space="preserve">Developments to Know</w:t>
      </w:r>
    </w:p>
    <w:p>
      <w:pPr>
        <w:spacing w:after="160"/>
      </w:pPr>
      <w:r>
        <w:t xml:space="preserve">Michael Jackson was acquitted on all counts in 2005. Plaxico Burress was released in 2011 after serving approximately twenty months and returned to the National Football League. The guest represented Harvey Weinstein from 2018 until withdrawing in January 2019; Weinstein's 2020 New York conviction was reversed by the New York Court of Appeals in People v. Weinstein (2024) on the ground that the trial court erred in admitting testimony of uncharged prior acts, and a 2025 retrial resulted in conviction on one count of criminal sexual act in the first degree. Sean Combs was tried in the United States District Court for the Southern District of New York in 2025, represented by other counsel, and was acquitted of racketeering conspiracy and sex trafficking, convicted on two counts of transportation to engage in prostitution under the Mann Act, 18 U.S.C. § 2421, and sentenced in October 2025 to fifty months' imprisonment. New York Civil Rights Law § 52 remains in effect; legislation to repeal it and permit audio-visual coverage of judicial proceedings (S.462) was introduced in the 2025–2026 session. Rule 3.6 and the Kovel doctrine remain the governing framework for extrajudicial statements and communications with retained consultants.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2026-09-24T05:14:00.463Z</dcterms:created>
  <dcterms:modified xsi:type="dcterms:W3CDTF">2026-09-24T05:14:00.464Z</dcterms:modified>
</cp:coreProperties>
</file>

<file path=docProps/custom.xml><?xml version="1.0" encoding="utf-8"?>
<Properties xmlns="http://schemas.openxmlformats.org/officeDocument/2006/custom-properties" xmlns:vt="http://schemas.openxmlformats.org/officeDocument/2006/docPropsVTypes"/>
</file>