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The Madoff Fraud: Unwinding a Ponzi Empire (Part 2)</w:t>
      </w:r>
    </w:p>
    <w:p>
      <w:pPr>
        <w:spacing w:after="200"/>
      </w:pPr>
      <w:r>
        <w:rPr>
          <w:rFonts w:ascii="Montserrat" w:cs="Montserrat" w:eastAsia="Montserrat" w:hAnsi="Montserrat"/>
          <w:b/>
          <w:bCs/>
          <w:color w:val="E87722"/>
          <w:sz w:val="24"/>
          <w:szCs w:val="24"/>
        </w:rPr>
        <w:t xml:space="preserve">David Sheehan</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liquidation of Bernard L. Madoff Investment Securities LLC (BLMIS) under the Securities Investor Protection Act, focusing on the determination of customer claims, the recovery of fraudulent transfers from investors who withdrew more than they invested, the applicable lookback periods under federal and New York law, the good-faith defense, and the doctrine of in pari delicto as applied to a trustee's common-law claims against third parties.</w:t>
      </w:r>
    </w:p>
    <w:p>
      <w:pPr>
        <w:pStyle w:val="Heading2"/>
        <w:spacing w:after="120" w:before="240"/>
      </w:pPr>
      <w:r>
        <w:rPr>
          <w:b/>
          <w:bCs/>
        </w:rPr>
        <w:t xml:space="preserve">SIPA and the Customer Priority</w:t>
      </w:r>
    </w:p>
    <w:p>
      <w:pPr>
        <w:spacing w:after="160"/>
      </w:pPr>
      <w:r>
        <w:t xml:space="preserve">The Securities Investor Protection Act of 1970, 15 U.S.C. § 78aaa et seq., provides for the liquidation of failed broker-dealers by a trustee appointed on application of the Securities Investor Protection Corporation (SIPC). Customers hold a priority claim to "customer property," consisting of cash and securities held by the broker on their behalf, and SIPC advances up to $500,000 per customer (of which up to $250,000 may be for cash claims) to satisfy allowed claims to the extent customer property is insufficient. SIPA incorporates the avoidance provisions of the Bankruptcy Code, and the trustee stands in the shoes of the debtor with respect to claims against third parties. Irving H. Picard was appointed SIPA trustee for BLMIS in December 2008.</w:t>
      </w:r>
    </w:p>
    <w:p>
      <w:pPr>
        <w:pStyle w:val="Heading2"/>
        <w:spacing w:after="120" w:before="240"/>
      </w:pPr>
      <w:r>
        <w:rPr>
          <w:b/>
          <w:bCs/>
        </w:rPr>
        <w:t xml:space="preserve">Net Equity</w:t>
      </w:r>
    </w:p>
    <w:p>
      <w:pPr>
        <w:spacing w:after="160"/>
      </w:pPr>
      <w:r>
        <w:t xml:space="preserve">SIPA defines a customer's "net equity" as the value of securities positions and cash the broker would have owed the customer on the filing date. Because BLMIS statements reflected securities that were never purchased, the trustee calculated net equity under the "cash-in, cash-out" method: total deposits less total withdrawals over the life of each account. Customers whose withdrawals exceeded deposits ("net winners") had no allowable claim; customers with positive net equity ("net losers") received distributions. In In re Bernard L. Madoff Investment Securities LLC, 654 F.3d 229 (2d Cir. 2011), the Second Circuit approved the method, holding that the trustee could not rely on fictitious statements, and the Supreme Court denied certiorari in 2012. The guest explains that of approximately 16,000 claims filed, about 4,000 related to accounts open at the time of the collapse, divided roughly evenly between net winners and net losers.</w:t>
      </w:r>
    </w:p>
    <w:p>
      <w:pPr>
        <w:pStyle w:val="Heading2"/>
        <w:spacing w:after="120" w:before="240"/>
      </w:pPr>
      <w:r>
        <w:rPr>
          <w:b/>
          <w:bCs/>
        </w:rPr>
        <w:t xml:space="preserve">Avoidance Actions and Lookback Periods</w:t>
      </w:r>
    </w:p>
    <w:p>
      <w:pPr>
        <w:spacing w:after="160"/>
      </w:pPr>
      <w:r>
        <w:t xml:space="preserve">Section 547 of the Bankruptcy Code permits recovery of preferential transfers made within ninety days before filing, or within one year to insiders. Section 548 permits avoidance of transfers made with actual intent to hinder, delay, or defraud creditors, or for less than reasonably equivalent value while insolvent, within two years before filing. Section 544(b) permits the trustee to assert state-law fraudulent conveyance claims available to an actual creditor; under New York's Debtor and Creditor Law, the limitations period was six years, and under CPLR 213(8), an actual-fraud claim may be brought within two years of the time the plaintiff discovered or could with reasonable diligence have discovered the fraud, which the guest describes as the "unicorn" exception permitting recovery of transfers dating to the inception of the scheme. Courts applying the "Ponzi scheme presumption" treat transfers made in furtherance of a Ponzi scheme as made with actual fraudulent intent.</w:t>
      </w:r>
    </w:p>
    <w:p>
      <w:pPr>
        <w:pStyle w:val="Heading2"/>
        <w:spacing w:after="120" w:before="240"/>
      </w:pPr>
      <w:r>
        <w:rPr>
          <w:b/>
          <w:bCs/>
        </w:rPr>
        <w:t xml:space="preserve">Fictitious Profits and the Good-Faith Defense</w:t>
      </w:r>
    </w:p>
    <w:p>
      <w:pPr>
        <w:spacing w:after="160"/>
      </w:pPr>
      <w:r>
        <w:t xml:space="preserve">Under section 548(c), a transferee who takes for value and in good faith may retain the transfer to the extent of value given. In a Ponzi scheme, repayment of principal is treated as value given, but fictitious profits are not; the trustee therefore sought recovery of profits from all net winners regardless of their knowledge, and recovery of principal only from transferees who lacked good faith. The guest describes the trustee's settlement practice, including verification of financial hardship claims by investigators, and the negotiated resolution with charitable and institutional investors. At the time of the program, the bankruptcy court had held that a transferee lacks good faith only upon a showing of willful blindness or actual knowledge of the fraud, a standard the guest characterized as higher than the inquiry-notice standard applicable in ordinary bankruptcy cases.</w:t>
      </w:r>
    </w:p>
    <w:p>
      <w:pPr>
        <w:pStyle w:val="Heading2"/>
        <w:spacing w:after="120" w:before="240"/>
      </w:pPr>
      <w:r>
        <w:rPr>
          <w:b/>
          <w:bCs/>
        </w:rPr>
        <w:t xml:space="preserve">In Pari Delicto and Trustee Standing</w:t>
      </w:r>
    </w:p>
    <w:p>
      <w:pPr>
        <w:spacing w:after="160"/>
      </w:pPr>
      <w:r>
        <w:t xml:space="preserve">Under the Wagoner rule, Shearson Lehman Hutton, Inc. v. Wagoner, 944 F.2d 114 (2d Cir. 1991), and the New York doctrine of in pari delicto as articulated in Kirschner v. KPMG LLP, 15 N.Y.3d 446 (2010), a bankruptcy trustee standing in the shoes of a debtor that participated in wrongdoing lacks standing to assert common-law claims against third parties alleged to have assisted the wrongdoing. In Picard v. JPMorgan Chase &amp; Co., 721 F.3d 54 (2d Cir. 2013), the Second Circuit held that the SIPA trustee's common-law claims against banks for aiding and abetting fraud and unjust enrichment were barred, and rejected the argument that SIPA or the trustee's role as bailee of customer property created an exception. The guest criticizes the doctrine as ill-suited to a trustee who recovers for the benefit of victims rather than the wrongdoer.</w:t>
      </w:r>
    </w:p>
    <w:p>
      <w:pPr>
        <w:pStyle w:val="Heading2"/>
        <w:spacing w:after="120" w:before="240"/>
      </w:pPr>
      <w:r>
        <w:rPr>
          <w:b/>
          <w:bCs/>
        </w:rPr>
        <w:t xml:space="preserve">Red Flags and Due Diligence</w:t>
      </w:r>
    </w:p>
    <w:p>
      <w:pPr>
        <w:spacing w:after="160"/>
      </w:pPr>
      <w:r>
        <w:t xml:space="preserve">The guest identifies indicators that BLMIS's reported returns were not achievable, including the absence of drawdowns over decades, positive returns on days of market collapse, and volatility-adjusted returns (Sharpe ratios) inconsistent with the trading volumes implied by the strategy, and notes that several financial institutions declined to invest with Madoff in the 1990s on this basis. Under the inquiry-notice standard, such facts bear on whether a transferee could establish good faith.</w:t>
      </w:r>
    </w:p>
    <w:p>
      <w:pPr>
        <w:pStyle w:val="Heading2"/>
        <w:spacing w:after="120" w:before="240"/>
      </w:pPr>
      <w:r>
        <w:rPr>
          <w:b/>
          <w:bCs/>
        </w:rPr>
        <w:t xml:space="preserve">Developments to Know</w:t>
      </w:r>
    </w:p>
    <w:p>
      <w:pPr>
        <w:spacing w:after="160"/>
      </w:pPr>
      <w:r>
        <w:t xml:space="preserve">As of late 2025, the SIPA trustee reported recoveries and settlement agreements totaling approximately $14.8 billion against approximately $17.5 billion in net principal losses, and had made sixteen pro rata interim distributions to customers with allowed claims, with additional allocations approved in December 2025. The Madoff Victim Fund, administered by the Department of Justice from forfeited assets including the 2014 settlement with JPMorgan Chase, distributed more than $4 billion to victims, including indirect investors through feeder funds, and completed its distributions in 2024. In Picard v. Citibank, N.A., 12 F.4th 171 (2d Cir. 2021), the Second Circuit held that lack of good faith under SIPA is measured by an inquiry-notice standard — whether the transferee had knowledge of suspicious facts that would have led a reasonable person to inquire — rather than willful blindness, and that the trustee is not required to plead the transferee's lack of good faith, reviving claims against Citibank and other subsequent transferees. In Picard v. Fairfield Investment Fund Ltd. and related decisions, courts have applied the Citibank standard to feeder-fund and bank defendants. In pari delicto remains the law of New York under Kirschner. Bernard Madoff died in federal custody on April 14, 2021.</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2026-09-24T06:20:00.454Z</dcterms:created>
  <dcterms:modified xsi:type="dcterms:W3CDTF">2026-09-24T06:20:00.455Z</dcterms:modified>
</cp:coreProperties>
</file>

<file path=docProps/custom.xml><?xml version="1.0" encoding="utf-8"?>
<Properties xmlns="http://schemas.openxmlformats.org/officeDocument/2006/custom-properties" xmlns:vt="http://schemas.openxmlformats.org/officeDocument/2006/docPropsVTypes"/>
</file>