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spacing w:after="80"/>
      </w:pPr>
      <w:r>
        <w:rPr>
          <w:rFonts w:ascii="Montserrat" w:cs="Montserrat" w:eastAsia="Montserrat" w:hAnsi="Montserrat"/>
          <w:b/>
          <w:bCs/>
          <w:sz w:val="36"/>
          <w:szCs w:val="36"/>
        </w:rPr>
        <w:t xml:space="preserve">Selling Human Organs</w:t>
      </w:r>
    </w:p>
    <w:p>
      <w:pPr>
        <w:spacing w:after="80"/>
      </w:pPr>
      <w:r>
        <w:rPr>
          <w:rFonts w:ascii="Open Sans" w:cs="Open Sans" w:eastAsia="Open Sans" w:hAnsi="Open Sans"/>
          <w:color w:val="666666"/>
          <w:sz w:val="24"/>
          <w:szCs w:val="24"/>
        </w:rPr>
        <w:t xml:space="preserve">Transplant Tourism and Regulated Markets</w:t>
      </w:r>
    </w:p>
    <w:p>
      <w:pPr>
        <w:spacing w:after="200"/>
      </w:pPr>
      <w:r>
        <w:rPr>
          <w:rFonts w:ascii="Montserrat" w:cs="Montserrat" w:eastAsia="Montserrat" w:hAnsi="Montserrat"/>
          <w:b/>
          <w:bCs/>
          <w:color w:val="E87722"/>
          <w:sz w:val="24"/>
          <w:szCs w:val="24"/>
        </w:rPr>
        <w:t xml:space="preserve">Prof. Glenn Cohen</w:t>
      </w:r>
    </w:p>
    <w:p>
      <w:pPr>
        <w:pBdr>
          <w:bottom w:val="single" w:color="E87722" w:sz="6"/>
        </w:pBdr>
        <w:spacing w:after="300"/>
      </w:pPr>
    </w:p>
    <w:p>
      <w:pPr>
        <w:pStyle w:val="Heading2"/>
        <w:spacing w:after="120" w:before="240"/>
      </w:pPr>
      <w:r>
        <w:rPr>
          <w:b/>
          <w:bCs/>
        </w:rPr>
        <w:t xml:space="preserve">Overview</w:t>
      </w:r>
    </w:p>
    <w:p>
      <w:pPr>
        <w:spacing w:after="160"/>
      </w:pPr>
      <w:r>
        <w:t xml:space="preserve">This program examines the legal and ethical framework governing human organ transplantation in the United States, with particular attention to the federal prohibition on the sale of organs. It addresses the causes of the organ shortage, the National Organ Transplant Act and its amendments, the statute's territorial scope, the principal ethical arguments for and against organ markets, alternative incentive and allocation models used abroad, the treatment of bone marrow under the Act, posthumous interests and property in the body, and the phenomenon of transplant tourism.</w:t>
      </w:r>
    </w:p>
    <w:p>
      <w:pPr>
        <w:pStyle w:val="Heading2"/>
        <w:spacing w:after="120" w:before="240"/>
      </w:pPr>
      <w:r>
        <w:rPr>
          <w:b/>
          <w:bCs/>
        </w:rPr>
        <w:t xml:space="preserve">The Organ Shortage</w:t>
      </w:r>
    </w:p>
    <w:p>
      <w:pPr>
        <w:spacing w:after="160"/>
      </w:pPr>
      <w:r>
        <w:t xml:space="preserve">At the time of the program, more than 120,000 candidates were listed for transplantation in the United States, with roughly 21,000 more added to the kidney waiting list each year than received transplants. The guest attributes the shortage to declining rates of traumatic death, longer life expectancy, improved immunosuppression that expands the pool of compatible recipients, and rising rates of diabetes and hypertension. Kidneys account for the majority of demand; living kidney donation carries low long-term morbidity and mortality relative to matched non-donors, and dialysis is costly and burdensome for patients awaiting transplant.</w:t>
      </w:r>
    </w:p>
    <w:p>
      <w:pPr>
        <w:pStyle w:val="Heading2"/>
        <w:spacing w:after="120" w:before="240"/>
      </w:pPr>
      <w:r>
        <w:rPr>
          <w:b/>
          <w:bCs/>
        </w:rPr>
        <w:t xml:space="preserve">The National Organ Transplant Act</w:t>
      </w:r>
    </w:p>
    <w:p>
      <w:pPr>
        <w:spacing w:after="160"/>
      </w:pPr>
      <w:r>
        <w:t xml:space="preserve">The National Organ Transplant Act of 1984 (NOTA), 42 U.S.C. § 274e, makes it unlawful to knowingly acquire, receive, or otherwise transfer any human organ for valuable consideration for use in human transplantation if the transfer affects interstate commerce, punishable by up to five years' imprisonment and a fine. The statute defines "human organ" to include the kidney, liver, heart, lung, pancreas, bone marrow, cornea, eye, bone, skin, and other organs specified by regulation, and excludes blood, sperm, and ova. "Valuable consideration" excludes reasonable payments for removal, transportation, processing, and storage, and for expenses of travel, housing, and lost wages incurred by the donor. The Charlie W. Norwood Living Organ Donation Act of 2007 amended NOTA to clarify that paired kidney exchanges do not constitute valuable consideration. NOTA established the Organ Procurement and Transplantation Network (OPTN), operated under federal contract by the United Network for Organ Sharing (UNOS), to allocate deceased-donor organs. Prosecutions under § 274e are rare; in United States v. Rosenbaum (D.N.J. 2011), a Brooklyn broker pleaded guilty to brokering kidney sales and was sentenced to prison.</w:t>
      </w:r>
    </w:p>
    <w:p>
      <w:pPr>
        <w:pStyle w:val="Heading2"/>
        <w:spacing w:after="120" w:before="240"/>
      </w:pPr>
      <w:r>
        <w:rPr>
          <w:b/>
          <w:bCs/>
        </w:rPr>
        <w:t xml:space="preserve">Territorial Scope</w:t>
      </w:r>
    </w:p>
    <w:p>
      <w:pPr>
        <w:spacing w:after="160"/>
      </w:pPr>
      <w:r>
        <w:t xml:space="preserve">NOTA contains no express extraterritorial provision, and under the presumption against extraterritoriality a United States citizen who purchases an organ abroad does not violate § 274e. The guest observes that Congress could extend the statute extraterritorially, as it did for child sex tourism in the PROTECT Act of 2003, 18 U.S.C. § 2423(c), and that other proposals include conditioning public and private insurance coverage of post-transplant immunosuppressive medication on proof that the transplant was lawfully obtained.</w:t>
      </w:r>
    </w:p>
    <w:p>
      <w:pPr>
        <w:pStyle w:val="Heading2"/>
        <w:spacing w:after="120" w:before="240"/>
      </w:pPr>
      <w:r>
        <w:rPr>
          <w:b/>
          <w:bCs/>
        </w:rPr>
        <w:t xml:space="preserve">Ethical Arguments Concerning Organ Markets</w:t>
      </w:r>
    </w:p>
    <w:p>
      <w:pPr>
        <w:spacing w:after="160"/>
      </w:pPr>
      <w:r>
        <w:t xml:space="preserve">The guest identifies several families of argument supporting the prohibition: corruption, the view that pricing an organ degrades its value; crowding out, associated with Richard Titmuss's comparison of paid and voluntary blood supplies, which posits that payment reduces altruistic donation or degrades quality; coercion, which on Alan Wertheimer's account requires a demand for something to which the demanding party has no right; exploitation, which posits an unfair price and implies a fairer one; undue inducement, which posits an offer so large it overwhelms rational choice; and justified paternalism, which addresses predictable errors in judgment about future welfare. He notes that exploitation and undue inducement point in opposite directions on price, and that paternalist concerns may be addressed through choice architecture such as waiting periods and repeated consent rather than prohibition.</w:t>
      </w:r>
    </w:p>
    <w:p>
      <w:pPr>
        <w:pStyle w:val="Heading2"/>
        <w:spacing w:after="120" w:before="240"/>
      </w:pPr>
      <w:r>
        <w:rPr>
          <w:b/>
          <w:bCs/>
        </w:rPr>
        <w:t xml:space="preserve">Alternative Incentive and Allocation Models</w:t>
      </w:r>
    </w:p>
    <w:p>
      <w:pPr>
        <w:spacing w:after="160"/>
      </w:pPr>
      <w:r>
        <w:t xml:space="preserve">Israel's Organ Transplantation Law of 2008 grants allocation priority to registered donors and their families. Iran permits living kidney vendors to sell to a government-regulated entity that allocates organs, a system the guest characterizes as a state monopsony. Spain achieves high deceased-donation rates under presumed-consent legislation combined with intensive procurement practices. In the United States, the Revised Uniform Anatomical Gift Act (2006), adopted in most states, establishes opt-in donation through driver's license registries and provides that a donor's documented gift may not be revoked by family members, although transplant professionals commonly defer to family objections in practice. The guest recommends federally authorized demonstration projects to test non-cash incentives such as scholarships, charitable contributions, funeral benefits, and transferable allocation priority.</w:t>
      </w:r>
    </w:p>
    <w:p>
      <w:pPr>
        <w:pStyle w:val="Heading2"/>
        <w:spacing w:after="120" w:before="240"/>
      </w:pPr>
      <w:r>
        <w:rPr>
          <w:b/>
          <w:bCs/>
        </w:rPr>
        <w:t xml:space="preserve">Bone Marrow and Flynn v. Holder</w:t>
      </w:r>
    </w:p>
    <w:p>
      <w:pPr>
        <w:spacing w:after="160"/>
      </w:pPr>
      <w:r>
        <w:t xml:space="preserve">In Flynn v. Holder, 684 F.3d 852 (9th Cir. 2012), the Ninth Circuit held that hematopoietic stem cells collected through peripheral blood apheresis are not "bone marrow" within NOTA's definition of human organ, so that compensation for apheresis donors is not prohibited, while compensation for marrow obtained by aspiration remains unlawful. The Department of Health and Human Services proposed a rule in 2013 to define apheresis-derived cells as an organ under NOTA; the proposal was withdrawn in 2017.</w:t>
      </w:r>
    </w:p>
    <w:p>
      <w:pPr>
        <w:pStyle w:val="Heading2"/>
        <w:spacing w:after="120" w:before="240"/>
      </w:pPr>
      <w:r>
        <w:rPr>
          <w:b/>
          <w:bCs/>
        </w:rPr>
        <w:t xml:space="preserve">Posthumous Interests and Property in the Body</w:t>
      </w:r>
    </w:p>
    <w:p>
      <w:pPr>
        <w:spacing w:after="160"/>
      </w:pPr>
      <w:r>
        <w:t xml:space="preserve">The guest discusses whether persons retain interests after death, the "experience requirement" in philosophy, and the reasons law may honor posthumous wishes notwithstanding, including distress to the living and incentives for self-protective conduct. The Revised Uniform Anatomical Gift Act gives effect to a decedent's documented donation decision, and state law generally recognizes enforceable rights regarding disposition of remains. In Moore v. Regents of the University of California (Cal. 1990), the California Supreme Court held that a patient had no property interest in cells removed from his body, and courts have generally declined to recognize property rights in abandoned biological material.</w:t>
      </w:r>
    </w:p>
    <w:p>
      <w:pPr>
        <w:pStyle w:val="Heading2"/>
        <w:spacing w:after="120" w:before="240"/>
      </w:pPr>
      <w:r>
        <w:rPr>
          <w:b/>
          <w:bCs/>
        </w:rPr>
        <w:t xml:space="preserve">Transplant Tourism</w:t>
      </w:r>
    </w:p>
    <w:p>
      <w:pPr>
        <w:spacing w:after="160"/>
      </w:pPr>
      <w:r>
        <w:t xml:space="preserve">The World Health Organization's Guiding Principles on Human Cell, Tissue and Organ Transplantation (2010) and the Declaration of Istanbul on Organ Trafficking and Transplant Tourism (2008, revised 2018) call for national self-sufficiency in organ supply and prohibition of commercial transplantation. The guest summarizes ethnographic and medical studies of kidney vendors in the Philippines, Bangladesh, Pakistan, India, and Egypt, finding vendors are typically poor, indebted, paid less than promised, subject to substandard surgical care, and report high rates of regret. OPTN policy permits transplant programs to list non-resident, non-citizen candidates on the same terms as citizens, subject to reporting requirements.</w:t>
      </w:r>
    </w:p>
    <w:p>
      <w:pPr>
        <w:pStyle w:val="Heading2"/>
        <w:spacing w:after="120" w:before="240"/>
      </w:pPr>
      <w:r>
        <w:rPr>
          <w:b/>
          <w:bCs/>
        </w:rPr>
        <w:t xml:space="preserve">Developments to Know</w:t>
      </w:r>
    </w:p>
    <w:p>
      <w:pPr>
        <w:spacing w:after="160"/>
      </w:pPr>
      <w:r>
        <w:t xml:space="preserve">The End Kidney Deaths Act, H.R. 2687, reintroduced in the 119th Congress in 2025 with bipartisan sponsorship, would establish a ten-year pilot providing non-directed living kidney donors a refundable tax credit of $10,000 per year for five years; it has not been enacted. In 2020, the Health Resources and Services Administration finalized a rule expanding the National Living Donor Assistance Center program to reimburse living donors for lost wages and child and elder care expenses, and Executive Order 13879 (2019) directed measures to increase kidney transplantation. New York's Living Donor Protection Act (2022) and comparable laws in a majority of states prohibit insurance discrimination against living donors and provide job-protected leave. The Securing the U.S. Organ Procurement and Transplantation Network Act, signed in September 2023, amended NOTA to permit HRSA to award multiple OPTN contracts, ending the single-contractor arrangement in place since 1986; a newly constituted independent OPTN Board of Directors was seated in 2025. According to OPTN and UNOS data, the United States performed more than 48,000 transplants in 2024 and more than 49,000 in 2025, records for the fifth consecutive year, and the national waiting list stood at approximately 103,000 candidates in 2025. In 2025, the Food and Drug Administration cleared investigational new drug applications from United Therapeutics and eGenesis for the first clinical trials of gene-edited porcine kidney xenotransplantation in human patients, following compassionate-use transplants beginning in 2024.</w:t>
      </w:r>
    </w:p>
    <w:sectPr>
      <w:headerReference w:type="default" r:id="rId7"/>
      <w:footerReference w:type="default" r:id="rId8"/>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Open Sans" w:cs="Open Sans" w:eastAsia="Open Sans" w:hAnsi="Open Sans"/>
        <w:color w:val="999999"/>
        <w:sz w:val="16"/>
        <w:szCs w:val="16"/>
      </w:rPr>
      <w:t xml:space="preserve">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jc w:val="right"/>
    </w:pPr>
    <w:r>
      <w:rPr>
        <w:rFonts w:ascii="Montserrat" w:cs="Montserrat" w:eastAsia="Montserrat" w:hAnsi="Montserrat"/>
        <w:color w:val="999999"/>
        <w:sz w:val="16"/>
        <w:szCs w:val="16"/>
      </w:rPr>
      <w:t xml:space="preserve">TalksOnLaw — Written Materials</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72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Open Sans" w:cs="Open Sans" w:eastAsia="Open Sans" w:hAnsi="Open Sans"/>
        <w:sz w:val="24"/>
        <w:szCs w:val="24"/>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spacing w:after="240" w:before="240"/>
    </w:pPr>
    <w:rPr>
      <w:rFonts w:ascii="Montserrat" w:cs="Montserrat" w:eastAsia="Montserrat" w:hAnsi="Montserrat"/>
      <w:b/>
      <w:bCs/>
      <w:sz w:val="36"/>
      <w:szCs w:val="36"/>
    </w:rPr>
  </w:style>
  <w:style w:type="paragraph" w:styleId="Heading2">
    <w:name w:val="Heading 2"/>
    <w:basedOn w:val="Normal"/>
    <w:next w:val="Normal"/>
    <w:qFormat/>
    <w:pPr>
      <w:spacing w:after="120" w:before="200"/>
    </w:pPr>
    <w:rPr>
      <w:rFonts w:ascii="Montserrat" w:cs="Montserrat" w:eastAsia="Montserrat" w:hAnsi="Montserrat"/>
      <w:b/>
      <w:bCs/>
      <w:sz w:val="30"/>
      <w:szCs w:val="30"/>
    </w:rPr>
  </w:style>
  <w:style w:type="paragraph" w:styleId="Heading3">
    <w:name w:val="Heading 3"/>
    <w:basedOn w:val="Normal"/>
    <w:next w:val="Normal"/>
    <w:qFormat/>
    <w:pPr>
      <w:spacing w:after="100" w:before="160"/>
    </w:pPr>
    <w:rPr>
      <w:rFonts w:ascii="Montserrat" w:cs="Montserrat" w:eastAsia="Montserrat" w:hAnsi="Montserrat"/>
      <w:b/>
      <w:bCs/>
      <w:sz w:val="26"/>
      <w:szCs w:val="26"/>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2026-09-24T05:55:49.325Z</dcterms:created>
  <dcterms:modified xsi:type="dcterms:W3CDTF">2026-09-24T05:55:49.325Z</dcterms:modified>
</cp:coreProperties>
</file>

<file path=docProps/custom.xml><?xml version="1.0" encoding="utf-8"?>
<Properties xmlns="http://schemas.openxmlformats.org/officeDocument/2006/custom-properties" xmlns:vt="http://schemas.openxmlformats.org/officeDocument/2006/docPropsVTypes"/>
</file>