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Free Speech vs Hate Speech on Campus</w:t>
      </w:r>
    </w:p>
    <w:p>
      <w:pPr>
        <w:spacing w:after="200"/>
      </w:pPr>
      <w:r>
        <w:rPr>
          <w:rFonts w:ascii="Montserrat" w:cs="Montserrat" w:eastAsia="Montserrat" w:hAnsi="Montserrat"/>
          <w:b/>
          <w:bCs/>
          <w:color w:val="E87722"/>
          <w:sz w:val="24"/>
          <w:szCs w:val="24"/>
        </w:rPr>
        <w:t xml:space="preserve">Prof. Nadine Strossen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law of free speech on college and university campuses. It covers the state action requirement and the different obligations of public and private institutions, the core principles of viewpoint neutrality and narrowly defined exceptions, student speech doctrine, the heckler's veto, public forum analysis, security fees, disruption of speakers, and the relationship between anti-harassment obligations and protected speech. It concludes with developments since 2019, including Supreme Court decisions and the national controversy over campus protests and antisemitism.</w:t>
      </w:r>
    </w:p>
    <w:p>
      <w:pPr>
        <w:pStyle w:val="Heading2"/>
        <w:spacing w:after="120" w:before="240"/>
      </w:pPr>
      <w:r>
        <w:rPr>
          <w:b/>
          <w:bCs/>
        </w:rPr>
        <w:t xml:space="preserve">Learning Objectives</w:t>
      </w:r>
    </w:p>
    <w:p>
      <w:pPr>
        <w:pStyle w:val="ListParagraph"/>
        <w:numPr>
          <w:ilvl w:val="0"/>
          <w:numId w:val="1"/>
        </w:numPr>
        <w:spacing w:after="80"/>
      </w:pPr>
      <w:r>
        <w:t xml:space="preserve">Distinguish the First Amendment obligations of public institutions from contractual and policy-based speech protections at private institutions.</w:t>
      </w:r>
    </w:p>
    <w:p>
      <w:pPr>
        <w:pStyle w:val="ListParagraph"/>
        <w:numPr>
          <w:ilvl w:val="0"/>
          <w:numId w:val="1"/>
        </w:numPr>
        <w:spacing w:after="80"/>
      </w:pPr>
      <w:r>
        <w:t xml:space="preserve">Apply viewpoint neutrality and the narrow categories of unprotected speech to campus controversies.</w:t>
      </w:r>
    </w:p>
    <w:p>
      <w:pPr>
        <w:pStyle w:val="ListParagraph"/>
        <w:numPr>
          <w:ilvl w:val="0"/>
          <w:numId w:val="1"/>
        </w:numPr>
        <w:spacing w:after="80"/>
      </w:pPr>
      <w:r>
        <w:t xml:space="preserve">Analyze student speech under</w:t>
      </w:r>
      <w:r>
        <w:rPr>
          <w:i/>
          <w:iCs/>
        </w:rPr>
        <w:t xml:space="preserve">Tinker</w:t>
      </w:r>
      <w:r>
        <w:t xml:space="preserve">and its progeny.</w:t>
      </w:r>
    </w:p>
    <w:p>
      <w:pPr>
        <w:pStyle w:val="ListParagraph"/>
        <w:numPr>
          <w:ilvl w:val="0"/>
          <w:numId w:val="1"/>
        </w:numPr>
        <w:spacing w:after="80"/>
      </w:pPr>
      <w:r>
        <w:t xml:space="preserve">Apply forum analysis, heckler's veto principles, and fee restrictions to campus events.</w:t>
      </w:r>
    </w:p>
    <w:p>
      <w:pPr>
        <w:pStyle w:val="ListParagraph"/>
        <w:numPr>
          <w:ilvl w:val="0"/>
          <w:numId w:val="1"/>
        </w:numPr>
        <w:spacing w:after="80"/>
      </w:pPr>
      <w:r>
        <w:t xml:space="preserve">Evaluate how Title VI anti-harassment obligations interact with First Amendment limits.</w:t>
      </w:r>
    </w:p>
    <w:p>
      <w:pPr>
        <w:pStyle w:val="Heading2"/>
        <w:spacing w:after="120" w:before="240"/>
      </w:pPr>
      <w:r>
        <w:rPr>
          <w:b/>
          <w:bCs/>
        </w:rPr>
        <w:t xml:space="preserve">State Action and Private Institutions</w:t>
      </w:r>
    </w:p>
    <w:p>
      <w:pPr>
        <w:spacing w:after="160"/>
      </w:pPr>
      <w:r>
        <w:t xml:space="preserve">The First Amendment constrains government, including public universities, but not private entities.</w:t>
      </w:r>
      <w:r>
        <w:rPr>
          <w:i/>
          <w:iCs/>
        </w:rPr>
        <w:t xml:space="preserve">Manhattan Community Access Corp. v. Halleck</w:t>
      </w:r>
      <w:r>
        <w:t xml:space="preserve">, 587 U.S. 802 (2019). Private universities may be bound by their own published commitments through contract or institutional policy, and some states extend speech protections to private campuses by statute, for example California's Leonard Law, Cal. Educ. Code § 94367.</w:t>
      </w:r>
    </w:p>
    <w:p>
      <w:pPr>
        <w:pStyle w:val="Heading2"/>
        <w:spacing w:after="120" w:before="240"/>
      </w:pPr>
      <w:r>
        <w:rPr>
          <w:b/>
          <w:bCs/>
        </w:rPr>
        <w:t xml:space="preserve">Core Principles</w:t>
      </w:r>
    </w:p>
    <w:p>
      <w:pPr>
        <w:pStyle w:val="ListParagraph"/>
        <w:numPr>
          <w:ilvl w:val="0"/>
          <w:numId w:val="1"/>
        </w:numPr>
        <w:spacing w:after="80"/>
      </w:pPr>
      <w:r>
        <w:rPr>
          <w:b/>
          <w:bCs/>
        </w:rPr>
        <w:t xml:space="preserve">Viewpoint neutrality.</w:t>
      </w:r>
      <w:r>
        <w:t xml:space="preserve">Government may not suppress speech because of its message or the offense it causes.</w:t>
      </w:r>
      <w:r>
        <w:rPr>
          <w:i/>
          <w:iCs/>
        </w:rPr>
        <w:t xml:space="preserve">Texas v. Johnson</w:t>
      </w:r>
      <w:r>
        <w:t xml:space="preserve">, 491 U.S. 397, 414 (1989);</w:t>
      </w:r>
      <w:r>
        <w:rPr>
          <w:i/>
          <w:iCs/>
        </w:rPr>
        <w:t xml:space="preserve">Matal v. Tam</w:t>
      </w:r>
      <w:r>
        <w:t xml:space="preserve">, 582 U.S. 218 (2017) (no exception for offensive or "hateful" speech);</w:t>
      </w:r>
      <w:r>
        <w:rPr>
          <w:i/>
          <w:iCs/>
        </w:rPr>
        <w:t xml:space="preserve">Snyder v. Phelps</w:t>
      </w:r>
      <w:r>
        <w:t xml:space="preserve">, 562 U.S. 443 (2011).</w:t>
      </w:r>
    </w:p>
    <w:p>
      <w:pPr>
        <w:pStyle w:val="ListParagraph"/>
        <w:numPr>
          <w:ilvl w:val="0"/>
          <w:numId w:val="1"/>
        </w:numPr>
        <w:spacing w:after="80"/>
      </w:pPr>
      <w:r>
        <w:rPr>
          <w:b/>
          <w:bCs/>
        </w:rPr>
        <w:t xml:space="preserve">Narrow exceptions.</w:t>
      </w:r>
      <w:r>
        <w:t xml:space="preserve">These include incitement to imminent lawless action likely to produce it,</w:t>
      </w:r>
      <w:r>
        <w:rPr>
          <w:i/>
          <w:iCs/>
        </w:rPr>
        <w:t xml:space="preserve">Brandenburg v. Ohio</w:t>
      </w:r>
      <w:r>
        <w:t xml:space="preserve">, 395 U.S. 444 (1969); true threats,</w:t>
      </w:r>
      <w:r>
        <w:rPr>
          <w:i/>
          <w:iCs/>
        </w:rPr>
        <w:t xml:space="preserve">Virginia v. Black</w:t>
      </w:r>
      <w:r>
        <w:t xml:space="preserve">, 538 U.S. 343 (2003),</w:t>
      </w:r>
      <w:r>
        <w:rPr>
          <w:i/>
          <w:iCs/>
        </w:rPr>
        <w:t xml:space="preserve">Counterman v. Colorado</w:t>
      </w:r>
      <w:r>
        <w:t xml:space="preserve">, 600 U.S. 66 (2023); fighting words,</w:t>
      </w:r>
      <w:r>
        <w:rPr>
          <w:i/>
          <w:iCs/>
        </w:rPr>
        <w:t xml:space="preserve">Chaplinsky v. New Hampshire</w:t>
      </w:r>
      <w:r>
        <w:t xml:space="preserve">, 315 U.S. 568 (1942); and harassment that meets the governing legal standard.</w:t>
      </w:r>
    </w:p>
    <w:p>
      <w:pPr>
        <w:pStyle w:val="ListParagraph"/>
        <w:numPr>
          <w:ilvl w:val="0"/>
          <w:numId w:val="1"/>
        </w:numPr>
        <w:spacing w:after="80"/>
      </w:pPr>
      <w:r>
        <w:rPr>
          <w:b/>
          <w:bCs/>
        </w:rPr>
        <w:t xml:space="preserve">Hate speech codes.</w:t>
      </w:r>
      <w:r>
        <w:t xml:space="preserve">Campus speech codes banning "hateful" or offensive expression have repeatedly been struck down as overbroad or viewpoint-based. See</w:t>
      </w:r>
      <w:r>
        <w:rPr>
          <w:i/>
          <w:iCs/>
        </w:rPr>
        <w:t xml:space="preserve">Doe v. University of Michigan</w:t>
      </w:r>
      <w:r>
        <w:t xml:space="preserve">, 721 F. Supp. 852 (E.D. Mich. 1989);</w:t>
      </w:r>
      <w:r>
        <w:rPr>
          <w:i/>
          <w:iCs/>
        </w:rPr>
        <w:t xml:space="preserve">R.A.V. v. City of St. Paul</w:t>
      </w:r>
      <w:r>
        <w:t xml:space="preserve">, 505 U.S. 377 (1992).</w:t>
      </w:r>
    </w:p>
    <w:p>
      <w:pPr>
        <w:pStyle w:val="Heading2"/>
        <w:spacing w:after="120" w:before="240"/>
      </w:pPr>
      <w:r>
        <w:rPr>
          <w:b/>
          <w:bCs/>
        </w:rPr>
        <w:t xml:space="preserve">Student Speech</w:t>
      </w:r>
    </w:p>
    <w:p>
      <w:pPr>
        <w:spacing w:after="160"/>
      </w:pPr>
      <w:r>
        <w:t xml:space="preserve">Students "do not shed their constitutional rights to freedom of speech or expression at the schoolhouse gate."</w:t>
      </w:r>
      <w:r>
        <w:rPr>
          <w:i/>
          <w:iCs/>
        </w:rPr>
        <w:t xml:space="preserve">Tinker v. Des Moines Independent Community School District</w:t>
      </w:r>
      <w:r>
        <w:t xml:space="preserve">, 393 U.S. 503, 506 (1969). Schools may restrict speech that would materially and substantially disrupt school activities or invade the rights of others. Later cases permit additional restrictions in K-12 settings:</w:t>
      </w:r>
      <w:r>
        <w:rPr>
          <w:i/>
          <w:iCs/>
        </w:rPr>
        <w:t xml:space="preserve">Bethel School District No. 403 v. Fraser</w:t>
      </w:r>
      <w:r>
        <w:t xml:space="preserve">, 478 U.S. 675 (1986) (lewd speech);</w:t>
      </w:r>
      <w:r>
        <w:rPr>
          <w:i/>
          <w:iCs/>
        </w:rPr>
        <w:t xml:space="preserve">Hazelwood School District v. Kuhlmeier</w:t>
      </w:r>
      <w:r>
        <w:t xml:space="preserve">, 484 U.S. 260 (1988) (school-sponsored speech);</w:t>
      </w:r>
      <w:r>
        <w:rPr>
          <w:i/>
          <w:iCs/>
        </w:rPr>
        <w:t xml:space="preserve">Morse v. Frederick</w:t>
      </w:r>
      <w:r>
        <w:t xml:space="preserve">, 551 U.S. 393 (2007) (speech promoting illegal drug use). University students receive at least as much protection.</w:t>
      </w:r>
      <w:r>
        <w:rPr>
          <w:i/>
          <w:iCs/>
        </w:rPr>
        <w:t xml:space="preserve">Healy v. James</w:t>
      </w:r>
      <w:r>
        <w:t xml:space="preserve">, 408 U.S. 169 (1972).</w:t>
      </w:r>
    </w:p>
    <w:p>
      <w:pPr>
        <w:pStyle w:val="Heading2"/>
        <w:spacing w:after="120" w:before="240"/>
      </w:pPr>
      <w:r>
        <w:rPr>
          <w:b/>
          <w:bCs/>
        </w:rPr>
        <w:t xml:space="preserve">The Heckler's Veto</w:t>
      </w:r>
    </w:p>
    <w:p>
      <w:pPr>
        <w:spacing w:after="160"/>
      </w:pPr>
      <w:r>
        <w:t xml:space="preserve">Officials may not suppress speech because of the hostile reaction of listeners. They must protect speakers, restricting speech only when there is a clear and present danger that cannot otherwise be controlled. See</w:t>
      </w:r>
      <w:r>
        <w:rPr>
          <w:i/>
          <w:iCs/>
        </w:rPr>
        <w:t xml:space="preserve">Terminiello v. Chicago</w:t>
      </w:r>
      <w:r>
        <w:t xml:space="preserve">, 337 U.S. 1 (1949);</w:t>
      </w:r>
      <w:r>
        <w:rPr>
          <w:i/>
          <w:iCs/>
        </w:rPr>
        <w:t xml:space="preserve">Cox v. Louisiana</w:t>
      </w:r>
      <w:r>
        <w:t xml:space="preserve">, 379 U.S. 536 (1965);</w:t>
      </w:r>
      <w:r>
        <w:rPr>
          <w:i/>
          <w:iCs/>
        </w:rPr>
        <w:t xml:space="preserve">Gregory v. City of Chicago</w:t>
      </w:r>
      <w:r>
        <w:t xml:space="preserve">, 394 U.S. 111 (1969). Government may not impose higher permit or security fees based on the anticipated reaction to a speaker's message.</w:t>
      </w:r>
      <w:r>
        <w:rPr>
          <w:i/>
          <w:iCs/>
        </w:rPr>
        <w:t xml:space="preserve">Forsyth County v. Nationalist Movement</w:t>
      </w:r>
      <w:r>
        <w:t xml:space="preserve">, 505 U.S. 123 (1992). Protesters may express disagreement, but sustained disruption that prevents a speaker from being heard and an audience from listening is not protected, and institutions may discipline it under content-neutral conduct rules.</w:t>
      </w:r>
    </w:p>
    <w:p>
      <w:pPr>
        <w:pStyle w:val="Heading2"/>
        <w:spacing w:after="120" w:before="240"/>
      </w:pPr>
      <w:r>
        <w:rPr>
          <w:b/>
          <w:bCs/>
        </w:rPr>
        <w:t xml:space="preserve">Forum Analysis on Campus</w:t>
      </w:r>
    </w:p>
    <w:p>
      <w:pPr>
        <w:pStyle w:val="ListParagraph"/>
        <w:numPr>
          <w:ilvl w:val="0"/>
          <w:numId w:val="1"/>
        </w:numPr>
        <w:spacing w:after="80"/>
      </w:pPr>
      <w:r>
        <w:rPr>
          <w:b/>
          <w:bCs/>
        </w:rPr>
        <w:t xml:space="preserve">Designated public forums.</w:t>
      </w:r>
      <w:r>
        <w:t xml:space="preserve">A public university that opens facilities or outdoor areas to the general public or to student groups must apply viewpoint-neutral rules.</w:t>
      </w:r>
      <w:r>
        <w:rPr>
          <w:i/>
          <w:iCs/>
        </w:rPr>
        <w:t xml:space="preserve">Widmar v. Vincent</w:t>
      </w:r>
      <w:r>
        <w:t xml:space="preserve">, 454 U.S. 263 (1981);</w:t>
      </w:r>
      <w:r>
        <w:rPr>
          <w:i/>
          <w:iCs/>
        </w:rPr>
        <w:t xml:space="preserve">Rosenberger v. Rector &amp; Visitors of the University of Virginia</w:t>
      </w:r>
      <w:r>
        <w:t xml:space="preserve">, 515 U.S. 819 (1995).</w:t>
      </w:r>
    </w:p>
    <w:p>
      <w:pPr>
        <w:pStyle w:val="ListParagraph"/>
        <w:numPr>
          <w:ilvl w:val="0"/>
          <w:numId w:val="1"/>
        </w:numPr>
        <w:spacing w:after="80"/>
      </w:pPr>
      <w:r>
        <w:rPr>
          <w:b/>
          <w:bCs/>
        </w:rPr>
        <w:t xml:space="preserve">Limited and nonpublic forums.</w:t>
      </w:r>
      <w:r>
        <w:t xml:space="preserve">Institutions may limit access to the campus community or to certain subjects, provided restrictions are reasonable and viewpoint-neutral. They may adopt reasonable time, place, and manner rules.</w:t>
      </w:r>
      <w:r>
        <w:rPr>
          <w:i/>
          <w:iCs/>
        </w:rPr>
        <w:t xml:space="preserve">Ward v. Rock Against Racism</w:t>
      </w:r>
      <w:r>
        <w:t xml:space="preserve">, 491 U.S. 781 (1989).</w:t>
      </w:r>
    </w:p>
    <w:p>
      <w:pPr>
        <w:pStyle w:val="ListParagraph"/>
        <w:numPr>
          <w:ilvl w:val="0"/>
          <w:numId w:val="1"/>
        </w:numPr>
        <w:spacing w:after="80"/>
      </w:pPr>
      <w:r>
        <w:rPr>
          <w:b/>
          <w:bCs/>
        </w:rPr>
        <w:t xml:space="preserve">Invited speakers.</w:t>
      </w:r>
      <w:r>
        <w:t xml:space="preserve">Institutions and faculty necessarily make content-based choices about curricula and whom to invite. Once a student group's invitation is permitted under neutral rules, administrators may not cancel it because of the speaker's viewpoint. See</w:t>
      </w:r>
      <w:r>
        <w:rPr>
          <w:i/>
          <w:iCs/>
        </w:rPr>
        <w:t xml:space="preserve">Padgett v. Auburn University</w:t>
      </w:r>
      <w:r>
        <w:t xml:space="preserve">, No. 3:17-cv-231 (M.D. Ala. 2017) (enjoining cancellation of Richard Spencer event).</w:t>
      </w:r>
    </w:p>
    <w:p>
      <w:pPr>
        <w:pStyle w:val="Heading2"/>
        <w:spacing w:after="120" w:before="240"/>
      </w:pPr>
      <w:r>
        <w:rPr>
          <w:b/>
          <w:bCs/>
        </w:rPr>
        <w:t xml:space="preserve">Harassment and Title VI</w:t>
      </w:r>
    </w:p>
    <w:p>
      <w:pPr>
        <w:spacing w:after="160"/>
      </w:pPr>
      <w:r>
        <w:t xml:space="preserve">Title VI of the Civil Rights Act of 1964, 42 U.S.C. § 2000d, prohibits discrimination on the basis of race, color, or national origin in federally funded programs. The Department of Education interprets national origin discrimination to include discrimination based on shared ancestry or ethnic characteristics, including antisemitism. Institutions may be liable for deliberate indifference to harassment that is "so severe, pervasive, and objectively offensive" that it denies equal access to education.</w:t>
      </w:r>
      <w:r>
        <w:rPr>
          <w:i/>
          <w:iCs/>
        </w:rPr>
        <w:t xml:space="preserve">Davis v. Monroe County Board of Education</w:t>
      </w:r>
      <w:r>
        <w:t xml:space="preserve">, 526 U.S. 629, 650 (1999) (a Title IX standard that courts also apply to Title VI harassment claims). Institutions must address discriminatory harassment and threats while respecting protected expression, often by relying on content-neutral conduct rules for disruption, vandalism, and trespass.</w:t>
      </w:r>
    </w:p>
    <w:p>
      <w:pPr>
        <w:pStyle w:val="Heading2"/>
        <w:spacing w:after="120" w:before="240"/>
      </w:pPr>
      <w:r>
        <w:rPr>
          <w:b/>
          <w:bCs/>
        </w:rPr>
        <w:t xml:space="preserve">Institutional Commitments</w:t>
      </w:r>
    </w:p>
    <w:p>
      <w:pPr>
        <w:spacing w:after="160"/>
      </w:pPr>
      <w:r>
        <w:t xml:space="preserve">The University of Chicago's Report of the Committee on Freedom of Expression (2015), the "Chicago Principles," has been adopted or endorsed by many institutions. The 1967 Kalven Committee Report on institutional neutrality counsels universities to refrain from taking institutional positions on political and social issues.</w:t>
      </w:r>
    </w:p>
    <w:p>
      <w:pPr>
        <w:pStyle w:val="Heading2"/>
        <w:spacing w:after="120" w:before="240"/>
      </w:pPr>
      <w:r>
        <w:rPr>
          <w:b/>
          <w:bCs/>
        </w:rPr>
        <w:t xml:space="preserve">Developments to Know</w:t>
      </w:r>
    </w:p>
    <w:p>
      <w:pPr>
        <w:pStyle w:val="ListParagraph"/>
        <w:numPr>
          <w:ilvl w:val="0"/>
          <w:numId w:val="1"/>
        </w:numPr>
        <w:spacing w:after="80"/>
      </w:pPr>
      <w:r>
        <w:rPr>
          <w:b/>
          <w:bCs/>
        </w:rPr>
        <w:t xml:space="preserve">&lt;em&gt;Mahanoy Area School District v. B.L.&lt;/em&gt;</w:t>
      </w:r>
      <w:r>
        <w:t xml:space="preserve">, 594 U.S. 180 (2021). The Court held that a school violated a student's First Amendment rights by disciplining her for a vulgar off-campus Snapchat post, emphasizing schools' reduced interest in off-campus speech.</w:t>
      </w:r>
    </w:p>
    <w:p>
      <w:pPr>
        <w:pStyle w:val="ListParagraph"/>
        <w:numPr>
          <w:ilvl w:val="0"/>
          <w:numId w:val="1"/>
        </w:numPr>
        <w:spacing w:after="80"/>
      </w:pPr>
      <w:r>
        <w:rPr>
          <w:b/>
          <w:bCs/>
        </w:rPr>
        <w:t xml:space="preserve">&lt;em&gt;Counterman v. Colorado&lt;/em&gt;</w:t>
      </w:r>
      <w:r>
        <w:t xml:space="preserve">(2023) held that true threats require proof that the speaker at least recklessly disregarded the threatening nature of the statements.</w:t>
      </w:r>
    </w:p>
    <w:p>
      <w:pPr>
        <w:pStyle w:val="ListParagraph"/>
        <w:numPr>
          <w:ilvl w:val="0"/>
          <w:numId w:val="1"/>
        </w:numPr>
        <w:spacing w:after="80"/>
      </w:pPr>
      <w:r>
        <w:rPr>
          <w:b/>
          <w:bCs/>
        </w:rPr>
        <w:t xml:space="preserve">Campus disruptions.</w:t>
      </w:r>
      <w:r>
        <w:t xml:space="preserve">Widely publicized shout-downs, including at Stanford Law School in 2023, prompted institutions to reaffirm and enforce policies against disrupting events.</w:t>
      </w:r>
    </w:p>
    <w:p>
      <w:pPr>
        <w:pStyle w:val="ListParagraph"/>
        <w:numPr>
          <w:ilvl w:val="0"/>
          <w:numId w:val="1"/>
        </w:numPr>
        <w:spacing w:after="80"/>
      </w:pPr>
      <w:r>
        <w:rPr>
          <w:b/>
          <w:bCs/>
        </w:rPr>
        <w:t xml:space="preserve">Protests and antisemitism (2023–2025).</w:t>
      </w:r>
      <w:r>
        <w:t xml:space="preserve">Following October 7, 2023, campus protests, encampments, and reports of antisemitic harassment led to congressional hearings, Department of Education Office for Civil Rights investigations, revised campus rules, and widespread adoption of institutional neutrality policies. In 2025, federal agencies froze or conditioned research funding at several universities, leading to negotiated settlements and litigation, and government actions against noncitizen student protesters drew First Amendment challenges.</w:t>
      </w:r>
    </w:p>
    <w:p>
      <w:pPr>
        <w:pStyle w:val="ListParagraph"/>
        <w:numPr>
          <w:ilvl w:val="0"/>
          <w:numId w:val="1"/>
        </w:numPr>
        <w:spacing w:after="80"/>
      </w:pPr>
      <w:r>
        <w:rPr>
          <w:b/>
          <w:bCs/>
        </w:rPr>
        <w:t xml:space="preserve">Faculty speech after the Charlie Kirk killing (2025–2026).</w:t>
      </w:r>
      <w:r>
        <w:t xml:space="preserve">Following the assassination of Charlie Kirk at Utah Valley University in September 2025, dozens of college faculty and staff were fired or disciplined over comments about his death. Lawsuits by public employees invoke the</w:t>
      </w:r>
      <w:r>
        <w:rPr>
          <w:i/>
          <w:iCs/>
        </w:rPr>
        <w:t xml:space="preserve">Pickering</w:t>
      </w:r>
      <w:r>
        <w:t xml:space="preserve">balancing test for speech on matters of public concern, and several institutions have settled.</w:t>
      </w:r>
    </w:p>
    <w:p>
      <w:pPr>
        <w:pStyle w:val="ListParagraph"/>
        <w:numPr>
          <w:ilvl w:val="0"/>
          <w:numId w:val="1"/>
        </w:numPr>
        <w:spacing w:after="80"/>
      </w:pPr>
      <w:r>
        <w:rPr>
          <w:b/>
          <w:bCs/>
        </w:rPr>
        <w:t xml:space="preserve">State legislation.</w:t>
      </w:r>
      <w:r>
        <w:t xml:space="preserve">Numerous states have enacted campus free speech statutes that eliminate "free speech zones," protect outdoor expression in open areas, and require policies against disruption.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2026-09-28T18:13:13.547Z</dcterms:created>
  <dcterms:modified xsi:type="dcterms:W3CDTF">2026-09-28T18:13:13.547Z</dcterms:modified>
</cp:coreProperties>
</file>

<file path=docProps/custom.xml><?xml version="1.0" encoding="utf-8"?>
<Properties xmlns="http://schemas.openxmlformats.org/officeDocument/2006/custom-properties" xmlns:vt="http://schemas.openxmlformats.org/officeDocument/2006/docPropsVTypes"/>
</file>