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The Fall of Weil</w:t>
      </w:r>
    </w:p>
    <w:p>
      <w:pPr>
        <w:spacing w:after="200"/>
      </w:pPr>
      <w:r>
        <w:rPr>
          <w:rFonts w:ascii="Montserrat" w:cs="Montserrat" w:eastAsia="Montserrat" w:hAnsi="Montserrat"/>
          <w:b/>
          <w:bCs/>
          <w:color w:val="E87722"/>
          <w:sz w:val="24"/>
          <w:szCs w:val="24"/>
        </w:rPr>
        <w:t>John D. Morley, Augustus E. Lines Professor of Law, Yale Law School; author, Why Law Firms Collapse, 75 Bus. Law. 1399 (2020); co-host, New Law Order</w:t>
      </w:r>
    </w:p>
    <w:p>
      <w:pPr>
        <w:pStyle w:val="Heading2"/>
        <w:spacing w:after="120" w:before="240"/>
      </w:pPr>
      <w:r>
        <w:rPr>
          <w:b/>
          <w:bCs/>
        </w:rPr>
        <w:t>Overview</w:t>
      </w:r>
    </w:p>
    <w:p>
      <w:pPr>
        <w:spacing w:after="160"/>
      </w:pPr>
      <w:r>
        <w:t>This program examines the structural reasons large law firms collapse, using the October 2026 wind-down of Weil, Gotshal &amp; Manges as its case study. Recorded on October 28, 2026, the day Weil's leadership told partners the 95-year-old firm would wind down, the conversation applies Professor Morley's run-on-the-bank hypothesis to the events of the preceding two months: the September departure of corporate chair Michael Aiello and a group of partners to Cravath, the collapse of merger talks with Willkie Farr &amp; Gallagher, and the decision of executive partner Barry Wolf's elected successor, Ramona Nee, not to take the job. Morley explains why partner ownership makes law firms uniquely sensitive to declines in relative profitability; how fraudulent-transfer exposure and the timing of partner compensation reward early departure and punish loyalty; why partner holdups at a failing firm are often rational pricing rather than greed; how Model Rules 5.4 and 5.6 remove the tools other professional partnerships use to stabilize themselves; what the history of unfinished-business liability, personal lease guarantees, and asset-sale exits means for Weil's partners, associates, and staff; whether a firm with little bank debt but large lease obligations is likely to file for bankruptcy; and what healthy firms should change in their partnership agreements and compensation systems now. The program closes with developments in the Weil matter through the recording date.</w:t>
      </w:r>
    </w:p>
    <w:p>
      <w:pPr>
        <w:pStyle w:val="Heading2"/>
        <w:spacing w:after="120" w:before="240"/>
      </w:pPr>
      <w:r>
        <w:rPr>
          <w:b/>
          <w:bCs/>
        </w:rPr>
        <w:t>Learning Objectives</w:t>
      </w:r>
    </w:p>
    <w:p>
      <w:pPr>
        <w:pStyle w:val="ListParagraph"/>
        <w:numPr>
          <w:ilvl w:val="0"/>
          <w:numId w:val="1"/>
        </w:numPr>
        <w:spacing w:after="80"/>
      </w:pPr>
      <w:r>
        <w:t>Explain the run-on-the-bank hypothesis of law firm collapse and why worker ownership, rather than debt or insolvency, is the source of a law firm's structural fragility.</w:t>
      </w:r>
    </w:p>
    <w:p>
      <w:pPr>
        <w:pStyle w:val="ListParagraph"/>
        <w:numPr>
          <w:ilvl w:val="0"/>
          <w:numId w:val="1"/>
        </w:numPr>
        <w:spacing w:after="80"/>
      </w:pPr>
      <w:r>
        <w:t>Describe how a departing partner reduces a firm's revenue faster than its costs, how that lowers the compensation of remaining partners, and why relative rather than absolute profitability drives lateral movement.</w:t>
      </w:r>
    </w:p>
    <w:p>
      <w:pPr>
        <w:pStyle w:val="ListParagraph"/>
        <w:numPr>
          <w:ilvl w:val="0"/>
          <w:numId w:val="1"/>
        </w:numPr>
        <w:spacing w:after="80"/>
      </w:pPr>
      <w:r>
        <w:t>Identify the bankruptcy-law doctrines that reward early departure, including fraudulent-transfer avoidance of partner distributions under 11 U.S.C. § 548 and state voidable-transaction law, and explain how they cause partners to discount expected compensation.</w:t>
      </w:r>
    </w:p>
    <w:p>
      <w:pPr>
        <w:pStyle w:val="ListParagraph"/>
        <w:numPr>
          <w:ilvl w:val="0"/>
          <w:numId w:val="1"/>
        </w:numPr>
        <w:spacing w:after="80"/>
      </w:pPr>
      <w:r>
        <w:t>Analyze why a partner at a distressed firm can credibly threaten to leave for less than current compensation, and distinguish rational pricing from opportunistic holdup.</w:t>
      </w:r>
    </w:p>
    <w:p>
      <w:pPr>
        <w:pStyle w:val="ListParagraph"/>
        <w:numPr>
          <w:ilvl w:val="0"/>
          <w:numId w:val="1"/>
        </w:numPr>
        <w:spacing w:after="80"/>
      </w:pPr>
      <w:r>
        <w:t>Explain the text and rationale of Model Rule 5.6 (restrictions on a lawyer's right to practice) and Model Rule 5.4 (professional independence and nonlawyer ownership), how courts have applied Rule 5.6 to financial disincentives on departure, and how these rules limit a firm's ability to stabilize itself compared with the lender-led recapitalization of Slater &amp; Gordon.</w:t>
      </w:r>
    </w:p>
    <w:p>
      <w:pPr>
        <w:pStyle w:val="ListParagraph"/>
        <w:numPr>
          <w:ilvl w:val="0"/>
          <w:numId w:val="1"/>
        </w:numPr>
        <w:spacing w:after="80"/>
      </w:pPr>
      <w:r>
        <w:t>Identify the professional obligations of departing lawyers and dissolving firms under Model Rules 1.4, 1.16, 1.15, 1.17, 1.10, 5.1, and 7.1 and ABA Formal Opinions 99-414 and 489, including client notice, client choice of counsel, file transfer, trust-account handling, and conflicts screening at the new firm.</w:t>
      </w:r>
    </w:p>
    <w:p>
      <w:pPr>
        <w:pStyle w:val="ListParagraph"/>
        <w:numPr>
          <w:ilvl w:val="0"/>
          <w:numId w:val="1"/>
        </w:numPr>
        <w:spacing w:after="80"/>
      </w:pPr>
      <w:r>
        <w:t>Describe the unfinished-business doctrine, the decisions in In re Thelen (N.Y. 2014) and Heller Ehrman v. Davis Wright Tremaine (Cal. 2018) rejecting it for hourly matters, and the remaining exposure in jurisdictions that have not followed them.</w:t>
      </w:r>
    </w:p>
    <w:p>
      <w:pPr>
        <w:pStyle w:val="ListParagraph"/>
        <w:numPr>
          <w:ilvl w:val="0"/>
          <w:numId w:val="1"/>
        </w:numPr>
        <w:spacing w:after="80"/>
      </w:pPr>
      <w:r>
        <w:t>Evaluate the alternatives available to a collapsing firm, including merger, mass lateral movement structured as an asset sale, dissolution, and an out-of-court wind-down, and the factors that determine whether a bankruptcy filing is likely.</w:t>
      </w:r>
    </w:p>
    <w:p>
      <w:pPr>
        <w:pStyle w:val="ListParagraph"/>
        <w:numPr>
          <w:ilvl w:val="0"/>
          <w:numId w:val="1"/>
        </w:numPr>
        <w:spacing w:after="80"/>
      </w:pPr>
      <w:r>
        <w:t>Apply Morley's short-term and long-term recommendations, including partnership-agreement waivers of unfinished-business claims, compensation set at market value, firm-level client loyalty, and succession planning.</w:t>
      </w:r>
    </w:p>
    <w:p>
      <w:pPr>
        <w:pStyle w:val="Heading2"/>
        <w:spacing w:after="120" w:before="240"/>
      </w:pPr>
      <w:r>
        <w:rPr>
          <w:b/>
          <w:bCs/>
        </w:rPr>
        <w:t>The Run-on-the-Bank Hypothesis</w:t>
      </w:r>
    </w:p>
    <w:p>
      <w:pPr>
        <w:pStyle w:val="ListParagraph"/>
        <w:numPr>
          <w:ilvl w:val="0"/>
          <w:numId w:val="1"/>
        </w:numPr>
        <w:spacing w:after="80"/>
      </w:pPr>
      <w:r>
        <w:t>Morley's 2020 article, Why Law Firms Collapse, studied roughly three dozen law firm failures through bankruptcy records, news reports, and interviews. It opens with a stylized vignette of a collapse synthesized from those cases; Morley says Weil followed it "almost uncannily according to script."</w:t>
      </w:r>
    </w:p>
    <w:p>
      <w:pPr>
        <w:pStyle w:val="ListParagraph"/>
        <w:numPr>
          <w:ilvl w:val="0"/>
          <w:numId w:val="1"/>
        </w:numPr>
        <w:spacing w:after="80"/>
      </w:pPr>
      <w:r>
        <w:t>What is unusual about law firms is not that they suffer distress but the speed and force with which they respond to it. Delta, General Motors, Amazon, and Uber all lost money or filed for bankruptcy and survived, and most law firms weather bad years. But no partner-owned law firm has gone through a bankruptcy and emerged intact, and once a partner run gathers momentum it is hard to stop. By Morley's account, Weil was not in financial distress at all: its profits were increasing year over year when it collapsed.</w:t>
      </w:r>
    </w:p>
    <w:p>
      <w:pPr>
        <w:pStyle w:val="ListParagraph"/>
        <w:numPr>
          <w:ilvl w:val="0"/>
          <w:numId w:val="1"/>
        </w:numPr>
        <w:spacing w:after="80"/>
      </w:pPr>
      <w:r>
        <w:t>The hypothesis does not explain why a particular firm enters distress. It explains why law firms respond so violently when they do. In Morley's image, it is not an explanation for why a vase is pushed off a table but for why it shatters when it hits the ground.</w:t>
      </w:r>
    </w:p>
    <w:p>
      <w:pPr>
        <w:pStyle w:val="ListParagraph"/>
        <w:numPr>
          <w:ilvl w:val="0"/>
          <w:numId w:val="1"/>
        </w:numPr>
        <w:spacing w:after="80"/>
      </w:pPr>
      <w:r>
        <w:t>The source of fragility is worker ownership. Investor-owned businesses can lose money for years because the investors' capital is locked in. A law firm's key asset, the labor of its partners, can be withdrawn unilaterally by any partner at any time, and because the partners are the owners, they are acutely sensitive to declines in profit and acutely exposed to certain forms of liability. Both forces reward leaving early and punish leaving late.</w:t>
      </w:r>
    </w:p>
    <w:p>
      <w:pPr>
        <w:pStyle w:val="ListParagraph"/>
        <w:numPr>
          <w:ilvl w:val="0"/>
          <w:numId w:val="1"/>
        </w:numPr>
        <w:spacing w:after="80"/>
      </w:pPr>
      <w:r>
        <w:t>The arithmetic of a departure: when a rainmaker leaves, the firm loses that partner's clients and revenue but keeps most of the associated costs, including office leases, pension obligations, associates, and staff. The departing partner's draw is saved, but revenue typically falls by more than expenses. Remaining partners' compensation must fall. A partner paid $2 million who is now paid $1.9 million can be lured by an offer of $1.95 million that would previously have been a pay cut. Each departure makes the next more likely.</w:t>
      </w:r>
    </w:p>
    <w:p>
      <w:pPr>
        <w:pStyle w:val="ListParagraph"/>
        <w:numPr>
          <w:ilvl w:val="0"/>
          <w:numId w:val="1"/>
        </w:numPr>
        <w:spacing w:after="80"/>
      </w:pPr>
      <w:r>
        <w:t>Relative profitability is the key variable. A firm can hold together at almost any level of profit as long as each partner is paid roughly her market value, because moving is costly and a partner will generally not leave unless she can earn substantially more elsewhere. Weil's partners earned on the order of millions of dollars each, but the firm had slipped many places in the profits-per-partner rankings over twenty years. If a partner can earn more at a peer firm, it does not matter whether she earns five, ten, or fifteen million where she is.</w:t>
      </w:r>
    </w:p>
    <w:p>
      <w:pPr>
        <w:pStyle w:val="ListParagraph"/>
        <w:numPr>
          <w:ilvl w:val="0"/>
          <w:numId w:val="1"/>
        </w:numPr>
        <w:spacing w:after="80"/>
      </w:pPr>
      <w:r>
        <w:t>The partners most likely to leave are net contributors, those who bring in more business than they take out in compensation. That category overlaps with but is not identical to the most productive partners; a rainmaker who is paid more than he generates has difficulty moving. The result is that the partners whose departures hurt most are the ones most able to go.</w:t>
      </w:r>
    </w:p>
    <w:p>
      <w:pPr>
        <w:pStyle w:val="Heading2"/>
        <w:spacing w:after="120" w:before="240"/>
      </w:pPr>
      <w:r>
        <w:rPr>
          <w:b/>
          <w:bCs/>
        </w:rPr>
        <w:t>How Bankruptcy Law Accelerates the Run</w:t>
      </w:r>
    </w:p>
    <w:p>
      <w:pPr>
        <w:pStyle w:val="ListParagraph"/>
        <w:numPr>
          <w:ilvl w:val="0"/>
          <w:numId w:val="1"/>
        </w:numPr>
        <w:spacing w:after="80"/>
      </w:pPr>
      <w:r>
        <w:t>Partner compensation is a distribution on equity, not a wage. A firm is not obligated to pay distributions on equity, which makes a law firm's capital structure unusually robust: its largest expense is discretionary. The same fact makes partners vulnerable in bankruptcy.</w:t>
      </w:r>
    </w:p>
    <w:p>
      <w:pPr>
        <w:pStyle w:val="ListParagraph"/>
        <w:numPr>
          <w:ilvl w:val="0"/>
          <w:numId w:val="1"/>
        </w:numPr>
        <w:spacing w:after="80"/>
      </w:pPr>
      <w:r>
        <w:t>Fraudulent-transfer law allows a bankruptcy trustee or creditors to recover transfers made for less than reasonably equivalent value while the debtor was insolvent. Wages are payments on a contract the firm must honor; distributions on equity are not. In law firm bankruptcies, partners routinely argue that their draws were salary, and courts routinely hold that they were distributions to owners. The federal reach-back under 11 U.S.C. § 548 is two years; state voidable-transaction statutes, available to a trustee through § 544(b), can reach further.</w:t>
      </w:r>
    </w:p>
    <w:p>
      <w:pPr>
        <w:pStyle w:val="ListParagraph"/>
        <w:numPr>
          <w:ilvl w:val="0"/>
          <w:numId w:val="1"/>
        </w:numPr>
        <w:spacing w:after="80"/>
      </w:pPr>
      <w:r>
        <w:t>Because exposure begins at insolvency, a partner who believes the firm has a 50 percent chance of filing within the period must discount every dollar of expected compensation by half. A partner paid $1 million at a firm with a 50 percent chance of collapse is, in expectation, being paid $500,000.</w:t>
      </w:r>
    </w:p>
    <w:p>
      <w:pPr>
        <w:pStyle w:val="ListParagraph"/>
        <w:numPr>
          <w:ilvl w:val="0"/>
          <w:numId w:val="1"/>
        </w:numPr>
        <w:spacing w:after="80"/>
      </w:pPr>
      <w:r>
        <w:t>That discount explains partner holdups. Late in a collapse, each remaining partner's departure becomes more significant until one or two partners can credibly threaten to destroy the firm. Morley cites the Dewey &amp; LeBoeuf episode recounted in James B. Stewart's 2013 New Yorker article, in which a leading rainmaker demanded a large increase in guaranteed pay and a lump-sum payment as the price of staying. Morley's point is that such demands are often rational: a partner offered $800,000 by another firm can rationally demand $1.5 million from a firm with a 50 percent chance of collapse, because after the discount that is only $750,000. The partner is trying to hold her position, not improve it.</w:t>
      </w:r>
    </w:p>
    <w:p>
      <w:pPr>
        <w:pStyle w:val="ListParagraph"/>
        <w:numPr>
          <w:ilvl w:val="0"/>
          <w:numId w:val="1"/>
        </w:numPr>
        <w:spacing w:after="80"/>
      </w:pPr>
      <w:r>
        <w:t>Timing of compensation compounds the loss. In Morley's description, firms typically pay partners modest monthly or quarterly draws amounting to roughly half of expected annual compensation and settle the balance in a lump sum in January, after the prior year's books close. Weil's partners have worked ten months of 2026; the unpaid half of that year's compensation stands to remain with the firm and, if it files, its estate. Fees collected on their matters between now and their departures will likewise stay with the firm. In Morley's phrase, the partners are working for free until they leave, which is why they will leave as quickly as they can.</w:t>
      </w:r>
    </w:p>
    <w:p>
      <w:pPr>
        <w:pStyle w:val="ListParagraph"/>
        <w:numPr>
          <w:ilvl w:val="0"/>
          <w:numId w:val="1"/>
        </w:numPr>
        <w:spacing w:after="80"/>
      </w:pPr>
      <w:r>
        <w:t>Debt is not the issue. Weil appears to have had little bank debt, which is somewhat unusual; most firms carry revolving credit lines to smooth cyclical collections. Weil collapsed anyway. Its creditors presumably include landlords with lease obligations that run for decades, vendors such as Westlaw and LexisNexis, and employees with accrued wages and benefits, which have priority in bankruptcy. Because firms distribute nearly all cash to partners each year, little remains for creditors when operations stop.</w:t>
      </w:r>
    </w:p>
    <w:p>
      <w:pPr>
        <w:pStyle w:val="Heading2"/>
        <w:spacing w:after="120" w:before="240"/>
      </w:pPr>
      <w:r>
        <w:rPr>
          <w:b/>
          <w:bCs/>
        </w:rPr>
        <w:t>Why Weil: Triggers and Vulnerabilities</w:t>
      </w:r>
    </w:p>
    <w:p>
      <w:pPr>
        <w:pStyle w:val="ListParagraph"/>
        <w:numPr>
          <w:ilvl w:val="0"/>
          <w:numId w:val="1"/>
        </w:numPr>
        <w:spacing w:after="80"/>
      </w:pPr>
      <w:r>
        <w:t>Declining relative profitability. In Morley's account, Weil entered the 2008 financial crisis in a strong position, with an elite debtor-side bankruptcy practice that represented large failed financial institutions and a strong transactional practice, but did not make the investments in private equity that other top transactional firms made after the crisis, and its profits, though rising in absolute terms, rose more slowly than its competitors'.</w:t>
      </w:r>
    </w:p>
    <w:p>
      <w:pPr>
        <w:pStyle w:val="ListParagraph"/>
        <w:numPr>
          <w:ilvl w:val="0"/>
          <w:numId w:val="1"/>
        </w:numPr>
        <w:spacing w:after="80"/>
      </w:pPr>
      <w:r>
        <w:t>Concentrated business generation. When origination is widely distributed, no single departure matters much. When it is concentrated, the firm is less exposed to ordinary departures but catastrophically exposed to the loss of its few mega-producers. The September 2026 departure of corporate department chair Michael Aiello and several partners to Cravath removed a large block of business at once, the law firm equivalent of a concentrated loan portfolio in which one large loan goes bad.</w:t>
      </w:r>
    </w:p>
    <w:p>
      <w:pPr>
        <w:pStyle w:val="ListParagraph"/>
        <w:numPr>
          <w:ilvl w:val="0"/>
          <w:numId w:val="1"/>
        </w:numPr>
        <w:spacing w:after="80"/>
      </w:pPr>
      <w:r>
        <w:t>Governance and culture. Press accounts described a governance structure centralized around a few figures and tension over expansion and strategy. Morley argues that partners without strong non-financial reasons to stay are the first to go when relative pay slips. He contrasts Wachtell Lipton, which in his assessment absorbed recent partner departures without serious risk because its lead in profits per partner leaves few firms able to outbid it, and because a single office, a focused practice, and a founder still coming to work supply reasons to stay that money does not.</w:t>
      </w:r>
    </w:p>
    <w:p>
      <w:pPr>
        <w:pStyle w:val="ListParagraph"/>
        <w:numPr>
          <w:ilvl w:val="0"/>
          <w:numId w:val="1"/>
        </w:numPr>
        <w:spacing w:after="80"/>
      </w:pPr>
      <w:r>
        <w:t>Leadership transition. Executive partner Barry Wolf had been due to hand off to Ramona Nee, a Boston private equity partner elected in March 2026 to take over in January 2027. In late October she declined the role, leaving the firm without a successor. Leadership transitions have triggered runs before: Brobeck, Phleger &amp; Harrison collapsed in 2003 after rainmaker Tower Snow, who had sought to lead the firm, departed; Altheimer &amp; Gray dissolved the same year after its chair, Gery Chico, left to run for the U.S. Senate. A transition combines the possible exit of a major rainmaker with a loss of confidence among those who remain.</w:t>
      </w:r>
    </w:p>
    <w:p>
      <w:pPr>
        <w:pStyle w:val="ListParagraph"/>
        <w:numPr>
          <w:ilvl w:val="0"/>
          <w:numId w:val="1"/>
        </w:numPr>
        <w:spacing w:after="80"/>
      </w:pPr>
      <w:r>
        <w:t>The failed merger search. Distressed banks seek merger partners because depositors of the weak bank gain confidence from the larger balance sheet; the same logic applies to law firms, where joining a 3,000-lawyer firm shrinks the marginal impact of each departure. Patton Boggs saved itself this way in 2014 by merging with Squire Sanders, and Shearman &amp; Sterling, whose relative decline resembled Weil's, merged with Allen &amp; Overy in 2024 before any run began. Weil needed a very large firm without a New York presence, and Morley notes that few remain. Talks with Willkie Farr &amp; Gallagher ended on October 22, 2026; discussions with Freshfields and Linklaters were reported. Morley also suggests that Weil's debtor-side bankruptcy practice, lucrative but lumpy and conflict-prone, may have complicated a combination with firms that represent creditors.</w:t>
      </w:r>
    </w:p>
    <w:p>
      <w:pPr>
        <w:pStyle w:val="ListParagraph"/>
        <w:numPr>
          <w:ilvl w:val="0"/>
          <w:numId w:val="1"/>
        </w:numPr>
        <w:spacing w:after="80"/>
      </w:pPr>
      <w:r>
        <w:t>The Boies Schiller alternative. A firm can sometimes shrink to its core and survive, as Boies Schiller Flexner did after a period of departures. According to Morley, it had no large Manhattan lease, little debt, and a litigation-only practice. Litigation firms are more robust because they are less star-driven and because litigation matters are longer and harder to move than transactional matters.</w:t>
      </w:r>
    </w:p>
    <w:p>
      <w:pPr>
        <w:pStyle w:val="Heading2"/>
        <w:spacing w:after="120" w:before="240"/>
      </w:pPr>
      <w:r>
        <w:rPr>
          <w:b/>
          <w:bCs/>
        </w:rPr>
        <w:t>The Ethics Rules: 5.6 and 5.4</w:t>
      </w:r>
    </w:p>
    <w:p>
      <w:pPr>
        <w:pStyle w:val="ListParagraph"/>
        <w:numPr>
          <w:ilvl w:val="0"/>
          <w:numId w:val="1"/>
        </w:numPr>
        <w:spacing w:after="80"/>
      </w:pPr>
      <w:r>
        <w:t>Model Rule 5.6(a) provides that a lawyer shall not participate in offering or making "a partnership, shareholders, operating, employment, or other similar type of agreement that restricts the right of a lawyer to practice after termination of the relationship, except an agreement concerning benefits upon retirement." Comment [1] explains the rationale: such an agreement "not only limits their professional autonomy but also limits the freedom of clients to choose a lawyer." The rule protects client choice, not the firm.</w:t>
      </w:r>
    </w:p>
    <w:p>
      <w:pPr>
        <w:pStyle w:val="ListParagraph"/>
        <w:numPr>
          <w:ilvl w:val="0"/>
          <w:numId w:val="1"/>
        </w:numPr>
        <w:spacing w:after="80"/>
      </w:pPr>
      <w:r>
        <w:t>Courts have read Rule 5.6 (and its predecessor, DR 2-108) to reach indirect restraints as well as outright non-competes. In Cohen v. Lord, Day &amp; Lord, 75 N.Y.2d 95 (1989), the New York Court of Appeals refused to enforce a partnership provision that forfeited a departing partner's share of earned but uncollected fees if he competed with the firm, holding that a significant financial disincentive to competition "restricts the right of a lawyer to practice" just as a direct prohibition would. Denburg v. Parker Chapin Flattau &amp; Klimpl, 82 N.Y.2d 375 (1993), reaffirmed the rule. New Jersey reached the same result in Jacob v. Norris, McLaughlin &amp; Marcus, 128 N.J. 10 (1992). California is the notable exception: in Howard v. Babcock, 6 Cal. 4th 409 (1993), the state supreme court upheld an agreement imposing a reasonable cost on a departing partner who competes, reasoning that a law partnership may protect itself much as other professional partnerships do.</w:t>
      </w:r>
    </w:p>
    <w:p>
      <w:pPr>
        <w:pStyle w:val="ListParagraph"/>
        <w:numPr>
          <w:ilvl w:val="0"/>
          <w:numId w:val="1"/>
        </w:numPr>
        <w:spacing w:after="80"/>
      </w:pPr>
      <w:r>
        <w:t>The consequence Morley draws: accounting, medical, engineering, and advertising partnerships can use non-competes, non-solicits, and forfeiture provisions to slow departures and give a distressed firm time to recover. Outside California, law firms have almost none of these tools. The one restriction Rule 5.6 permits, a condition on retirement benefits, applies only to lawyers who are actually retiring from practice.</w:t>
      </w:r>
    </w:p>
    <w:p>
      <w:pPr>
        <w:pStyle w:val="ListParagraph"/>
        <w:numPr>
          <w:ilvl w:val="0"/>
          <w:numId w:val="1"/>
        </w:numPr>
        <w:spacing w:after="80"/>
      </w:pPr>
      <w:r>
        <w:t>Model Rule 5.4 is the second constraint. Subsection (a) bars sharing legal fees with a nonlawyer, subsection (b) bars forming a partnership with a nonlawyer if any of its activities consist of the practice of law, and subsection (d) bars practicing in a for-profit entity in which a nonlawyer "owns any interest," serves as a director or officer, or "has the right to direct or control the professional judgment of a lawyer." The rule's stated purpose is to protect the lawyer's independent professional judgment.</w:t>
      </w:r>
    </w:p>
    <w:p>
      <w:pPr>
        <w:pStyle w:val="ListParagraph"/>
        <w:numPr>
          <w:ilvl w:val="0"/>
          <w:numId w:val="1"/>
        </w:numPr>
        <w:spacing w:after="80"/>
      </w:pPr>
      <w:r>
        <w:t>Because of Rule 5.4, a law firm's equity is held entirely by people who can walk out the door, and there is no outside capital to absorb a loss or to hand to creditors in a reorganization. Imagine a Chapter 11 plan for Weil in which the partners' equity is cancelled and new equity is issued to the landlords: the partners would simply leave, and the landlords would own nothing.</w:t>
      </w:r>
    </w:p>
    <w:p>
      <w:pPr>
        <w:pStyle w:val="ListParagraph"/>
        <w:numPr>
          <w:ilvl w:val="0"/>
          <w:numId w:val="1"/>
        </w:numPr>
        <w:spacing w:after="80"/>
      </w:pPr>
      <w:r>
        <w:t>The rule is no longer uniform. The District of Columbia has long permitted nonlawyer partners who provide services to the firm and accept the ethics rules, subject to lawyer control. Arizona eliminated Rule 5.4 in 2021 and licenses alternative business structures with nonlawyer owners, and Utah operates a regulatory sandbox. Morley's point is not that these reforms are good or bad on balance, only that investor ownership would make firms less prone to collapse, because investors' capital is locked in while partners' labor is not.</w:t>
      </w:r>
    </w:p>
    <w:p>
      <w:pPr>
        <w:pStyle w:val="ListParagraph"/>
        <w:numPr>
          <w:ilvl w:val="0"/>
          <w:numId w:val="1"/>
        </w:numPr>
        <w:spacing w:after="80"/>
      </w:pPr>
      <w:r>
        <w:t>The United Kingdom illustrates both differences. It has no equivalent of Rule 5.6; restrictive covenants in law firm partnership and employment agreements are enforceable there if reasonable. Since the Legal Services Act 2007 it has also permitted outside ownership of law firms through alternative business structures. Morley argues that collapses on the American pattern have been far rarer there.</w:t>
      </w:r>
    </w:p>
    <w:p>
      <w:pPr>
        <w:pStyle w:val="ListParagraph"/>
        <w:numPr>
          <w:ilvl w:val="0"/>
          <w:numId w:val="1"/>
        </w:numPr>
        <w:spacing w:after="80"/>
      </w:pPr>
      <w:r>
        <w:t>Slater &amp; Gordon, a publicly traded firm listed in Australia with a large U.K. business, overpaid for an acquisition that turned out to be the product of accounting fraud and was left with debt it could not service. In 2017 its lenders took control through a recapitalization that converted debt to equity, left existing shareholders with a small fraction of the company, and separated the U.K. business under lender ownership. Both businesses continued to operate. The investors' capital was locked in, so it could absorb the loss; a partner-owned firm has no equivalent cushion.</w:t>
      </w:r>
    </w:p>
    <w:p>
      <w:pPr>
        <w:pStyle w:val="ListParagraph"/>
        <w:numPr>
          <w:ilvl w:val="0"/>
          <w:numId w:val="1"/>
        </w:numPr>
        <w:spacing w:after="80"/>
      </w:pPr>
      <w:r>
        <w:t>Morley is careful about the policy implication. Investor ownership and enforceable covenants would each reduce collapse risk, but each raises issues well beyond it, including the independence concerns that animate Rule 5.4 and the client-choice concerns that animate Rule 5.6. His claim is descriptive: the rules that define the American law firm also make it brittle.</w:t>
      </w:r>
    </w:p>
    <w:p>
      <w:pPr>
        <w:pStyle w:val="Heading2"/>
        <w:spacing w:after="120" w:before="240"/>
      </w:pPr>
      <w:r>
        <w:rPr>
          <w:b/>
          <w:bCs/>
        </w:rPr>
        <w:t>Professional Obligations During a Departure or Dissolution</w:t>
      </w:r>
    </w:p>
    <w:p>
      <w:pPr>
        <w:pStyle w:val="ListParagraph"/>
        <w:numPr>
          <w:ilvl w:val="0"/>
          <w:numId w:val="1"/>
        </w:numPr>
        <w:spacing w:after="80"/>
      </w:pPr>
      <w:r>
        <w:t>Client notice and client choice. ABA Formal Opinion 99-414 (1999) and Formal Opinion 489 (2019) set out the obligations when a lawyer leaves a firm. Both the departing lawyer and the firm must promptly inform affected clients, in a manner that is not misleading (Rule 7.1), that the lawyer is leaving, and the client decides whether to stay with the firm, follow the lawyer, or retain new counsel. Joint notice is preferred; unilateral notice by the departing lawyer is permitted once the firm has been told. Neither side may use the notice to disparage the other or to pressure the client.</w:t>
      </w:r>
    </w:p>
    <w:p>
      <w:pPr>
        <w:pStyle w:val="ListParagraph"/>
        <w:numPr>
          <w:ilvl w:val="0"/>
          <w:numId w:val="1"/>
        </w:numPr>
        <w:spacing w:after="80"/>
      </w:pPr>
      <w:r>
        <w:t>Notice periods and access. Opinion 489 concludes that a firm may require reasonable advance notice of departure so that client matters can be transitioned, but may not impose notice periods or other conditions that in practice restrict the lawyer's ability to leave or the client's choice of counsel, and may not cut a departing lawyer off from the files, staff, and resources needed to serve clients during the transition. Those limits apply with particular force during a run, when a firm's instinct is to slow the exodus.</w:t>
      </w:r>
    </w:p>
    <w:p>
      <w:pPr>
        <w:pStyle w:val="ListParagraph"/>
        <w:numPr>
          <w:ilvl w:val="0"/>
          <w:numId w:val="1"/>
        </w:numPr>
        <w:spacing w:after="80"/>
      </w:pPr>
      <w:r>
        <w:t>Duties on termination. Rule 1.16(d) requires a lawyer, on termination of a representation, to take steps reasonably practicable to protect the client's interests, including surrendering papers and property and refunding unearned fees. Rule 1.4 requires keeping the client reasonably informed, which includes informing the client of a change that will affect who handles the matter. In a dissolution, the firm's remaining lawyers owe these duties to every client whose matter has not yet moved, and a lawyer who leaves cannot simply abandon matters that no new firm will take.</w:t>
      </w:r>
    </w:p>
    <w:p>
      <w:pPr>
        <w:pStyle w:val="ListParagraph"/>
        <w:numPr>
          <w:ilvl w:val="0"/>
          <w:numId w:val="1"/>
        </w:numPr>
        <w:spacing w:after="80"/>
      </w:pPr>
      <w:r>
        <w:t>Trust accounts and property. Rule 1.15 obligations do not end with the firm. Client funds in trust must be accounted for and either returned or transferred at the client's direction, and the firm must maintain records. In prior collapses, trustees and disciplinary authorities have scrutinized the handling of advance fee deposits and retainers in the final months.</w:t>
      </w:r>
    </w:p>
    <w:p>
      <w:pPr>
        <w:pStyle w:val="ListParagraph"/>
        <w:numPr>
          <w:ilvl w:val="0"/>
          <w:numId w:val="1"/>
        </w:numPr>
        <w:spacing w:after="80"/>
      </w:pPr>
      <w:r>
        <w:t>Sale of a practice. Rule 1.17 permits the sale of a law practice, or an area of practice, as an entirety, with written notice to each client of the proposed sale and the client's right to retain other counsel, and without increasing fees because of the sale. A mass lateral move of a practice group is not a Rule 1.17 sale, but the same client-notice principles apply, and a firm that structures its exit as an asset transfer, as Bingham McCutchen did in 2014, must still give each client the choice.</w:t>
      </w:r>
    </w:p>
    <w:p>
      <w:pPr>
        <w:pStyle w:val="ListParagraph"/>
        <w:numPr>
          <w:ilvl w:val="0"/>
          <w:numId w:val="1"/>
        </w:numPr>
        <w:spacing w:after="80"/>
      </w:pPr>
      <w:r>
        <w:t>Conflicts at the receiving firm. Rule 1.9 and Rule 1.10 govern the conflicts a lateral brings with her. Under Model Rule 1.10(a)(2), a firm may avoid imputation of a lateral's former-client conflicts by timely screening the lawyer, giving written notice to the affected former client, and providing certifications of compliance. Weil's debtor-side bankruptcy group illustrates the problem at scale: a firm that represents many creditors may be unable to take a group that represents debtors, which is one reason Morley expects that group to need a particular kind of home.</w:t>
      </w:r>
    </w:p>
    <w:p>
      <w:pPr>
        <w:pStyle w:val="ListParagraph"/>
        <w:numPr>
          <w:ilvl w:val="0"/>
          <w:numId w:val="1"/>
        </w:numPr>
        <w:spacing w:after="80"/>
      </w:pPr>
      <w:r>
        <w:t>Supervision in a wind-down. Rules 5.1 and 5.3 make partners and managers responsible for reasonable measures to ensure that the firm's lawyers and staff comply with the rules. Those duties continue through the wind-down, when departing partners, unpaid staff, and thinning oversight raise the risk of missed deadlines, unanswered clients, and mishandled funds.</w:t>
      </w:r>
    </w:p>
    <w:p>
      <w:pPr>
        <w:pStyle w:val="ListParagraph"/>
        <w:numPr>
          <w:ilvl w:val="0"/>
          <w:numId w:val="1"/>
        </w:numPr>
        <w:spacing w:after="80"/>
      </w:pPr>
      <w:r>
        <w:t>Honesty about the firm's condition. Rules 7.1 and 8.4(c) prohibit false or misleading statements. A firm in distress must take care that public and client-facing statements about its stability are accurate. Weil's September statement that it was not in merger discussions, followed within weeks by merger talks and a wind-down, drew press attention for that reason; whether any statement crossed an ethical line is a question of what was known when it was made.</w:t>
      </w:r>
    </w:p>
    <w:p>
      <w:pPr>
        <w:pStyle w:val="Heading2"/>
        <w:spacing w:after="120" w:before="240"/>
      </w:pPr>
      <w:r>
        <w:rPr>
          <w:b/>
          <w:bCs/>
        </w:rPr>
        <w:t>The Precedents: Collapses, Exits, and Liabilities</w:t>
      </w:r>
    </w:p>
    <w:p>
      <w:pPr>
        <w:pStyle w:val="ListParagraph"/>
        <w:numPr>
          <w:ilvl w:val="0"/>
          <w:numId w:val="1"/>
        </w:numPr>
        <w:spacing w:after="80"/>
      </w:pPr>
      <w:r>
        <w:t>The pattern is recurrent. Finley Kumble grew from nothing to the fourth-largest firm in the country within roughly a decade and failed in 1987. Dewey &amp; LeBoeuf filed for bankruptcy in May 2012, the largest law firm failure to that point. Bingham McCutchen ceased operations in 2014 after about two-thirds of its remaining partners moved as a group to Morgan Lewis. Stroock &amp; Stroock &amp; Lavan dissolved in 2023 after its bankruptcy practice departed. Earlier failures include Heller Ehrman, Thelen, Howrey, Brobeck, Altheimer &amp; Gray, and Heenan Blaikie in Canada. Morley compares law firms to banks before deposit insurance: most survive most of the time, but when a run begins there is no backstop.</w:t>
      </w:r>
    </w:p>
    <w:p>
      <w:pPr>
        <w:pStyle w:val="ListParagraph"/>
        <w:numPr>
          <w:ilvl w:val="0"/>
          <w:numId w:val="1"/>
        </w:numPr>
        <w:spacing w:after="80"/>
      </w:pPr>
      <w:r>
        <w:t>Unfinished-business liability. For years, courts in some jurisdictions held that a departing partner owed the dissolved firm not only fees billed before leaving but profits on open matters billed at the new firm. The doctrine drove partners from Howrey, Dewey, and other firms into personal financial distress; Morley notes that Senator Mike Lee of Utah faced clawback claims arising from Howrey's bankruptcy while serving in the Senate. The New York Court of Appeals rejected the doctrine for hourly matters in In re Thelen LLP, 24 N.Y.3d 16 (2014), and the California Supreme Court followed in Heller Ehrman LLP v. Davis Wright Tremaine LLP, 4 Cal. 5th 467 (2018). Morley states that the District of Columbia has also abrogated it, while other jurisdictions, in his account including Illinois, have not.</w:t>
      </w:r>
    </w:p>
    <w:p>
      <w:pPr>
        <w:pStyle w:val="ListParagraph"/>
        <w:numPr>
          <w:ilvl w:val="0"/>
          <w:numId w:val="1"/>
        </w:numPr>
        <w:spacing w:after="80"/>
      </w:pPr>
      <w:r>
        <w:t>The dissolution trap. Unfinished-business liability attached only to partners who left after dissolution. Partners who left minutes before escaped it; partners who stayed were saddled with it. Several firms declared dissolution without appreciating the consequence. One small California firm, Morley recounts, dissolved the day before a group of partners departed, specifically to impose the liability on them, and reorganized the next day without them. Bingham McCutchen avoided the trap by structuring its exit as a mass lateral move, the law firm equivalent of an asset sale, and leaving the old entity in place to wind down.</w:t>
      </w:r>
    </w:p>
    <w:p>
      <w:pPr>
        <w:pStyle w:val="ListParagraph"/>
        <w:numPr>
          <w:ilvl w:val="0"/>
          <w:numId w:val="1"/>
        </w:numPr>
        <w:spacing w:after="80"/>
      </w:pPr>
      <w:r>
        <w:t>Personal guarantees and covenants. Law firm lenders and landlords understand the run dynamic, and loan and lease agreements commonly include covenants triggered when a specified number of partners leaves within a specified period. At Brobeck, the landlord responded to a covenant breach by demanding personal guarantees from the remaining partners, who gave them in an effort to hold the firm together. The firm collapsed anyway, and the partners were personally liable.</w:t>
      </w:r>
    </w:p>
    <w:p>
      <w:pPr>
        <w:pStyle w:val="ListParagraph"/>
        <w:numPr>
          <w:ilvl w:val="0"/>
          <w:numId w:val="1"/>
        </w:numPr>
        <w:spacing w:after="80"/>
      </w:pPr>
      <w:r>
        <w:t>Departing leaders. Managing partners do not necessarily go down with the ship. Morley notes that Nicholas Gravante moved from Boies Schiller, where he held a leadership role, to Cadwalader in 2020, and that Weil's elected successor was reported to be weighing offers from other firms.</w:t>
      </w:r>
    </w:p>
    <w:p>
      <w:pPr>
        <w:pStyle w:val="ListParagraph"/>
        <w:numPr>
          <w:ilvl w:val="0"/>
          <w:numId w:val="1"/>
        </w:numPr>
        <w:spacing w:after="80"/>
      </w:pPr>
      <w:r>
        <w:t>Weil's likely path. Because New York has abrogated unfinished-business liability for hourly matters, the timing of a formal dissolution matters less than it once did, and a dissolved firm may continue operating while it winds down. Many collapsed firms, including Bingham, never filed for bankruptcy. Firms tend to file when a secured lender stands to absorb the assets; where, as reportedly at Weil, there is no significant bank lender, landlords and trade creditors may be able to negotiate a resolution without a filing. Weil's debtor-side bankruptcy group will try to move as a unit, which requires a firm with few creditor-side conflicts.</w:t>
      </w:r>
    </w:p>
    <w:p>
      <w:pPr>
        <w:pStyle w:val="ListParagraph"/>
        <w:numPr>
          <w:ilvl w:val="0"/>
          <w:numId w:val="1"/>
        </w:numPr>
        <w:spacing w:after="80"/>
      </w:pPr>
      <w:r>
        <w:t>The harm of collapse. Even if every partner finds a new firm, value is lost. Clients served by teams that scatter to different firms lose the relationship or the combination of capabilities that attracted them; lawyers interviewed by Morley described moving in terms of death and divorce. The distributional consequences fall hardest on associates and staff, who face the dynamics of any business shutting down: some follow partners, and some are out of work.</w:t>
      </w:r>
    </w:p>
    <w:p>
      <w:pPr>
        <w:pStyle w:val="Heading2"/>
        <w:spacing w:after="120" w:before="240"/>
      </w:pPr>
      <w:r>
        <w:rPr>
          <w:b/>
          <w:bCs/>
        </w:rPr>
        <w:t>What Other Firms Should Do</w:t>
      </w:r>
    </w:p>
    <w:p>
      <w:pPr>
        <w:pStyle w:val="ListParagraph"/>
        <w:numPr>
          <w:ilvl w:val="0"/>
          <w:numId w:val="1"/>
        </w:numPr>
        <w:spacing w:after="80"/>
      </w:pPr>
      <w:r>
        <w:t>Short term: adopt a waiver of unfinished-business claims in the partnership agreement now, while the firm is healthy, especially in jurisdictions that have not abrogated the doctrine. A waiver adopted in distress is vulnerable to avoidance as a fraudulent transfer, and merely proposing one at that stage signals trouble and deepens the run.</w:t>
      </w:r>
    </w:p>
    <w:p>
      <w:pPr>
        <w:pStyle w:val="ListParagraph"/>
        <w:numPr>
          <w:ilvl w:val="0"/>
          <w:numId w:val="1"/>
        </w:numPr>
        <w:spacing w:after="80"/>
      </w:pPr>
      <w:r>
        <w:t>Short term: audit partner compensation against market value. A partner paid below her market value is a flight risk; a partner paid above it is a drain that depresses everyone else's pay. The goal is an equilibrium in which each partner is paid enough that moving is not worth the cost. Morley points to Wachtell Lipton's recent compensation changes, which he describes as a move away from lockstep, as an example of a firm adjusting pay to market before departures could become a run.</w:t>
      </w:r>
    </w:p>
    <w:p>
      <w:pPr>
        <w:pStyle w:val="ListParagraph"/>
        <w:numPr>
          <w:ilvl w:val="0"/>
          <w:numId w:val="1"/>
        </w:numPr>
        <w:spacing w:after="80"/>
      </w:pPr>
      <w:r>
        <w:t>Short term: track relative profitability. A firm whose profits are rising but whose ranking is falling is accumulating risk even if nothing looks wrong on the income statement.</w:t>
      </w:r>
    </w:p>
    <w:p>
      <w:pPr>
        <w:pStyle w:val="ListParagraph"/>
        <w:numPr>
          <w:ilvl w:val="0"/>
          <w:numId w:val="1"/>
        </w:numPr>
        <w:spacing w:after="80"/>
      </w:pPr>
      <w:r>
        <w:t>Long term: cultivate client relationships at the firm level rather than the partner level. A departure damages the firm only to the extent the partner can take clients along.</w:t>
      </w:r>
    </w:p>
    <w:p>
      <w:pPr>
        <w:pStyle w:val="ListParagraph"/>
        <w:numPr>
          <w:ilvl w:val="0"/>
          <w:numId w:val="1"/>
        </w:numPr>
        <w:spacing w:after="80"/>
      </w:pPr>
      <w:r>
        <w:t>Long term: plan succession early and build confidence in the successor, since transitions are a recurrent trigger. Build a culture that gives partners non-financial reasons to stay; the firms that have survived departures without a run, in Morley's examples, are the ones that did.</w:t>
      </w:r>
    </w:p>
    <w:p>
      <w:pPr>
        <w:pStyle w:val="ListParagraph"/>
        <w:numPr>
          <w:ilvl w:val="0"/>
          <w:numId w:val="1"/>
        </w:numPr>
        <w:spacing w:after="80"/>
      </w:pPr>
      <w:r>
        <w:t>The pace of lateral movement has increased, which puts pressure even on healthy firms that would not have existed five years ago. Morley argues that Weil's fall vindicates the warnings about the 2025 executive orders targeting firms such as Paul Weiss: a shock to relative profitability, in a star-driven firm, can become existential. Whether a targeted firm should have accepted that risk is a separate question; that the risk was real is not.</w:t>
      </w:r>
    </w:p>
    <w:p>
      <w:pPr>
        <w:pStyle w:val="ListParagraph"/>
        <w:numPr>
          <w:ilvl w:val="0"/>
          <w:numId w:val="1"/>
        </w:numPr>
        <w:spacing w:after="80"/>
      </w:pPr>
      <w:r>
        <w:t>A few departures do not make collapse inevitable. Firms have stopped runs by finding a merger partner, adjusting compensation, and shoring up culture. The common element is acting before the spiral becomes self-fulfilling.</w:t>
      </w:r>
    </w:p>
    <w:p>
      <w:pPr>
        <w:pStyle w:val="Heading2"/>
        <w:spacing w:after="120" w:before="240"/>
      </w:pPr>
      <w:r>
        <w:rPr>
          <w:b/>
          <w:bCs/>
        </w:rPr>
        <w:t>Developments to Know</w:t>
      </w:r>
    </w:p>
    <w:p>
      <w:pPr>
        <w:pStyle w:val="ListParagraph"/>
        <w:numPr>
          <w:ilvl w:val="0"/>
          <w:numId w:val="1"/>
        </w:numPr>
        <w:spacing w:after="80"/>
      </w:pPr>
      <w:r>
        <w:t>October 28, 2026: Weil's leadership recommended an orderly wind-down after what the firm called a careful review of strategic alternatives, and partners were expected to vote within days. The firm said it would continue serving clients through the process. Weil, founded in 1931, reported roughly $2 billion in revenue for 2025 and employed about 1,200 lawyers and some 2,000 people in total.</w:t>
      </w:r>
    </w:p>
    <w:p>
      <w:pPr>
        <w:pStyle w:val="ListParagraph"/>
        <w:numPr>
          <w:ilvl w:val="0"/>
          <w:numId w:val="1"/>
        </w:numPr>
        <w:spacing w:after="80"/>
      </w:pPr>
      <w:r>
        <w:t>The firm's advisers were reported to expect a solvent wind-down outside bankruptcy; associates and staff were reportedly told they would continue to be paid for 90 days. Partner departures to Cravath, Sidley Austin, and other firms were continuing as this program was recorded.</w:t>
      </w:r>
    </w:p>
    <w:p>
      <w:pPr>
        <w:pStyle w:val="ListParagraph"/>
        <w:numPr>
          <w:ilvl w:val="0"/>
          <w:numId w:val="1"/>
        </w:numPr>
        <w:spacing w:after="80"/>
      </w:pPr>
      <w:r>
        <w:t>The sequence that preceded the announcement: Michael Aiello and a group of corporate partners left for Cravath in September 2026; merger talks with Willkie Farr &amp; Gallagher ended on October 22; Ramona Nee, elected in March to succeed executive partner Barry Wolf in January 2027, declined the role in late October; and additional practice leaders announced departures in the days that followed.</w:t>
      </w:r>
    </w:p>
    <w:p>
      <w:pPr>
        <w:pStyle w:val="ListParagraph"/>
        <w:numPr>
          <w:ilvl w:val="0"/>
          <w:numId w:val="1"/>
        </w:numPr>
        <w:spacing w:after="80"/>
      </w:pPr>
      <w:r>
        <w:t>These materials reflect public reporting through October 28, 2026. The partner vote, the structure of the wind-down, any bankruptcy filing, and the disposition of the bankruptcy and restructuring practice remained open at that date.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