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Cyberattacks and the Use of Force</w:t>
      </w:r>
    </w:p>
    <w:p>
      <w:pPr>
        <w:spacing w:after="200"/>
      </w:pPr>
      <w:r>
        <w:rPr>
          <w:rFonts w:ascii="Montserrat" w:cs="Montserrat" w:eastAsia="Montserrat" w:hAnsi="Montserrat"/>
          <w:b/>
          <w:bCs/>
          <w:color w:val="E87722"/>
          <w:sz w:val="24"/>
          <w:szCs w:val="24"/>
        </w:rPr>
        <w:t xml:space="preserve">Prof. Duncan Hollis</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how international law applies to cyber operations, and in particular when a cyberattack amounts to a use of force or an armed attack. The guest, Professor Duncan B. Hollis of Temple University Beasley School of Law, discusses how cyber operations work, the sources of international law in cyberspace, the prohibition on the use of force and the right of self-defense, the 2007 attacks on Estonia and the Tallinn Manual, state responsibility for proxies, due diligence, attribution, influence operations, and countermeasures. The program was recorded in March 2022; this memo also notes later developments.</w:t>
      </w:r>
    </w:p>
    <w:p>
      <w:pPr>
        <w:pStyle w:val="Heading2"/>
        <w:spacing w:after="120" w:before="240"/>
      </w:pPr>
      <w:r>
        <w:rPr>
          <w:b/>
          <w:bCs/>
        </w:rPr>
        <w:t xml:space="preserve">Learning Objectives</w:t>
      </w:r>
    </w:p>
    <w:p>
      <w:pPr>
        <w:pStyle w:val="ListParagraph"/>
        <w:numPr>
          <w:ilvl w:val="0"/>
          <w:numId w:val="1"/>
        </w:numPr>
        <w:spacing w:after="80"/>
      </w:pPr>
      <w:r>
        <w:t xml:space="preserve">Describe the main types of cyber operations and the sources of international law that govern them, including the difficulty of finding custom when practice is covert.</w:t>
      </w:r>
    </w:p>
    <w:p>
      <w:pPr>
        <w:pStyle w:val="ListParagraph"/>
        <w:numPr>
          <w:ilvl w:val="0"/>
          <w:numId w:val="1"/>
        </w:numPr>
        <w:spacing w:after="80"/>
      </w:pPr>
      <w:r>
        <w:t xml:space="preserve">Apply the "scale and effects" approach to decide whether a cyber operation is a use of force or an armed attack under the UN Charter.</w:t>
      </w:r>
    </w:p>
    <w:p>
      <w:pPr>
        <w:pStyle w:val="ListParagraph"/>
        <w:numPr>
          <w:ilvl w:val="0"/>
          <w:numId w:val="1"/>
        </w:numPr>
        <w:spacing w:after="80"/>
      </w:pPr>
      <w:r>
        <w:t xml:space="preserve">Explain the rules for attributing the conduct of non-state proxies to a state, including the effective control test, and the role of due diligence.</w:t>
      </w:r>
    </w:p>
    <w:p>
      <w:pPr>
        <w:pStyle w:val="ListParagraph"/>
        <w:numPr>
          <w:ilvl w:val="0"/>
          <w:numId w:val="1"/>
        </w:numPr>
        <w:spacing w:after="80"/>
      </w:pPr>
      <w:r>
        <w:t xml:space="preserve">Evaluate how international law addresses influence operations, including non-intervention and human rights.</w:t>
      </w:r>
    </w:p>
    <w:p>
      <w:pPr>
        <w:pStyle w:val="ListParagraph"/>
        <w:numPr>
          <w:ilvl w:val="0"/>
          <w:numId w:val="1"/>
        </w:numPr>
        <w:spacing w:after="80"/>
      </w:pPr>
      <w:r>
        <w:t xml:space="preserve">Assess the law of countermeasures, including the debate over collective countermeasures, and later developments in UN, regional, and national practice.</w:t>
      </w:r>
    </w:p>
    <w:p>
      <w:pPr>
        <w:pStyle w:val="Heading2"/>
        <w:spacing w:after="120" w:before="240"/>
      </w:pPr>
      <w:r>
        <w:rPr>
          <w:b/>
          <w:bCs/>
        </w:rPr>
        <w:t xml:space="preserve">Cyber Operations and Their Effects</w:t>
      </w:r>
    </w:p>
    <w:p>
      <w:pPr>
        <w:spacing w:after="160"/>
      </w:pPr>
      <w:r>
        <w:t xml:space="preserve">Computer scientists describe cybersecurity harms as losses of confidentiality (espionage and data breaches), integrity (making a system operate other than as intended), and availability (ransomware and distributed denial of service, or DDoS, attacks). For national security purposes, the guest emphasizes, the indirect effects of these losses often matter most. Sophisticated operations take time to prepare, and they can spread beyond their targets. Examples from the program:</w:t>
      </w:r>
    </w:p>
    <w:p>
      <w:pPr>
        <w:pStyle w:val="ListParagraph"/>
        <w:numPr>
          <w:ilvl w:val="0"/>
          <w:numId w:val="1"/>
        </w:numPr>
        <w:spacing w:after="80"/>
      </w:pPr>
      <w:r>
        <w:rPr>
          <w:b/>
          <w:bCs/>
        </w:rPr>
        <w:t xml:space="preserve">Stuxnet</w:t>
      </w:r>
      <w:r>
        <w:t xml:space="preserve">(discovered 2010). Malware widely attributed to the United States and Israel, which have not acknowledged it, made centrifuges at Iran's Natanz facility spin at destructive speeds while operators saw normal readings. It later appeared, dormant, on systems worldwide.</w:t>
      </w:r>
    </w:p>
    <w:p>
      <w:pPr>
        <w:pStyle w:val="ListParagraph"/>
        <w:numPr>
          <w:ilvl w:val="0"/>
          <w:numId w:val="1"/>
        </w:numPr>
        <w:spacing w:after="80"/>
      </w:pPr>
      <w:r>
        <w:rPr>
          <w:b/>
          <w:bCs/>
        </w:rPr>
        <w:t xml:space="preserve">Ukraine's power grid</w:t>
      </w:r>
      <w:r>
        <w:t xml:space="preserve">(December 2015). An attack attributed to Russia cut power in parts of Ukraine for hours. In October 2020 the Justice Department charged six officers of Russia's military intelligence service (GRU) in connection with this attack, NotPetya, and other operations.</w:t>
      </w:r>
    </w:p>
    <w:p>
      <w:pPr>
        <w:pStyle w:val="ListParagraph"/>
        <w:numPr>
          <w:ilvl w:val="0"/>
          <w:numId w:val="1"/>
        </w:numPr>
        <w:spacing w:after="80"/>
      </w:pPr>
      <w:r>
        <w:rPr>
          <w:b/>
          <w:bCs/>
        </w:rPr>
        <w:t xml:space="preserve">WannaCry and NotPetya</w:t>
      </w:r>
      <w:r>
        <w:t xml:space="preserve">(2017). Both used EternalBlue, an exploit reportedly developed by the National Security Agency and leaked in 2017 by a group calling itself the Shadow Brokers. WannaCry, attributed to North Korea, hit more than 300,000 computers in about 150 countries. NotPetya, attributed to Russia, caused estimated losses of more than $10 billion.</w:t>
      </w:r>
    </w:p>
    <w:p>
      <w:pPr>
        <w:spacing w:after="160"/>
      </w:pPr>
      <w:r>
        <w:t xml:space="preserve">Most state cyber activity has stayed in a gray zone below armed conflict.</w:t>
      </w:r>
    </w:p>
    <w:p>
      <w:pPr>
        <w:pStyle w:val="Heading2"/>
        <w:spacing w:after="120" w:before="240"/>
      </w:pPr>
      <w:r>
        <w:rPr>
          <w:b/>
          <w:bCs/>
        </w:rPr>
        <w:t xml:space="preserve">From Cyber Independence to Agreed Applicability</w:t>
      </w:r>
    </w:p>
    <w:p>
      <w:pPr>
        <w:spacing w:after="160"/>
      </w:pPr>
      <w:r>
        <w:t xml:space="preserve">John Perry Barlow's 1996 Declaration of the Independence of Cyberspace imagined a domain free of government. Instead, states extended their regulatory and military power into it. Russia's 1998 resolution on information security, G.A. Res. 53/70 (Dec. 4, 1998), began a series of UN Groups of Governmental Experts (GGEs) and, later, Open-Ended Working Groups.</w:t>
      </w:r>
    </w:p>
    <w:p>
      <w:pPr>
        <w:pStyle w:val="ListParagraph"/>
        <w:numPr>
          <w:ilvl w:val="0"/>
          <w:numId w:val="1"/>
        </w:numPr>
        <w:spacing w:after="80"/>
      </w:pPr>
      <w:r>
        <w:t xml:space="preserve">The 2013 GGE report confirmed that "international law, and in particular the Charter of the United Nations, is applicable" to state use of information and communications technologies (ICTs). U.N. Doc. A/68/98, ¶ 19 (June 24, 2013).</w:t>
      </w:r>
    </w:p>
    <w:p>
      <w:pPr>
        <w:pStyle w:val="ListParagraph"/>
        <w:numPr>
          <w:ilvl w:val="0"/>
          <w:numId w:val="1"/>
        </w:numPr>
        <w:spacing w:after="80"/>
      </w:pPr>
      <w:r>
        <w:t xml:space="preserve">The 2015 GGE report set out voluntary norms, including on not knowingly allowing one's territory to be used for wrongful acts (norm 13(c)) and not damaging critical infrastructure (norm 13(f)). U.N. Doc. A/70/174 (July 22, 2015).</w:t>
      </w:r>
    </w:p>
    <w:p>
      <w:pPr>
        <w:pStyle w:val="ListParagraph"/>
        <w:numPr>
          <w:ilvl w:val="0"/>
          <w:numId w:val="1"/>
        </w:numPr>
        <w:spacing w:after="80"/>
      </w:pPr>
      <w:r>
        <w:t xml:space="preserve">The 2021 GGE report "noted that international humanitarian law applies only in situations of armed conflict," U.N. Doc. A/76/135, ¶ 71(f) (July 14, 2021). Objections to naming that body of law had contributed to the 2016&amp;ndash;2017 GGE's failure to agree on a report.</w:t>
      </w:r>
    </w:p>
    <w:p>
      <w:pPr>
        <w:spacing w:after="160"/>
      </w:pPr>
      <w:r>
        <w:t xml:space="preserve">The guest frames the remaining disputes with three images. "Sartre" stands for existential debates over whether a body of law, such as international humanitarian law, applies at all. "Baby carriages" refers to H.L.A. Hart and Lon Fuller's debate over a rule forbidding vehicles in a park: states agree a rule applies but not on what it covers. H.L.A. Hart,</w:t>
      </w:r>
      <w:r>
        <w:rPr>
          <w:i/>
          <w:iCs/>
        </w:rPr>
        <w:t xml:space="preserve">Positivism and the Separation of Law and Morals</w:t>
      </w:r>
      <w:r>
        <w:t xml:space="preserve">, 71 Harv. L. Rev. 593, 607 (1958); Lon L. Fuller,</w:t>
      </w:r>
      <w:r>
        <w:rPr>
          <w:i/>
          <w:iCs/>
        </w:rPr>
        <w:t xml:space="preserve">Positivism and Fidelity to Law: A Reply to Professor Hart</w:t>
      </w:r>
      <w:r>
        <w:t xml:space="preserve">, 71 Harv. L. Rev. 630, 663 (1958). "Horses" refers to Judge Frank Easterbrook's argument that there is no more need for a law of cyberspace than for a "law of the horse," and Lawrence Lessig's reply. Frank H. Easterbrook,</w:t>
      </w:r>
      <w:r>
        <w:rPr>
          <w:i/>
          <w:iCs/>
        </w:rPr>
        <w:t xml:space="preserve">Cyberspace and the Law of the Horse</w:t>
      </w:r>
      <w:r>
        <w:t xml:space="preserve">, 1996 U. Chi. Legal F. 207; Lawrence Lessig,</w:t>
      </w:r>
      <w:r>
        <w:rPr>
          <w:i/>
          <w:iCs/>
        </w:rPr>
        <w:t xml:space="preserve">The Law of the Horse: What Cyberlaw Might Teach</w:t>
      </w:r>
      <w:r>
        <w:t xml:space="preserve">, 113 Harv. L. Rev. 501 (1999). A fourth problem is silence: because operations are covert and states rarely explain their legal views about incidents, there is little visible practice from which to identify custom.</w:t>
      </w:r>
    </w:p>
    <w:p>
      <w:pPr>
        <w:pStyle w:val="Heading2"/>
        <w:spacing w:after="120" w:before="240"/>
      </w:pPr>
      <w:r>
        <w:rPr>
          <w:b/>
          <w:bCs/>
        </w:rPr>
        <w:t xml:space="preserve">Sources of International Law in Cyberspace</w:t>
      </w:r>
    </w:p>
    <w:p>
      <w:pPr>
        <w:spacing w:after="160"/>
      </w:pPr>
      <w:r>
        <w:t xml:space="preserve">Article 38(1) of the Statute of the International Court of Justice lists the sources of international law: treaties, custom, general principles, and, as subsidiary means, judicial decisions and the teachings of highly qualified publicists. Custom requires general and consistent state practice accepted as law (</w:t>
      </w:r>
      <w:r>
        <w:rPr>
          <w:i/>
          <w:iCs/>
        </w:rPr>
        <w:t xml:space="preserve">opinio juris</w:t>
      </w:r>
      <w:r>
        <w:t xml:space="preserve">).</w:t>
      </w:r>
      <w:r>
        <w:rPr>
          <w:i/>
          <w:iCs/>
        </w:rPr>
        <w:t xml:space="preserve">North Sea Continental Shelf</w:t>
      </w:r>
      <w:r>
        <w:t xml:space="preserve">(F.R.G. v. Den.; F.R.G. v. Neth.), 1969 I.C.J. 3, ¶ 77 (Feb. 20). The guest's example: the United States is not party to the UN Convention on the Law of the Sea but accepts a 12-nautical-mile territorial sea as custom. See Proclamation No. 5928, 54 Fed. Reg. 777 (Dec. 27, 1988). Enforcement is largely horizontal; with no global police force or court of compulsory jurisdiction, states enforce the law through their own responses.</w:t>
      </w:r>
    </w:p>
    <w:p>
      <w:pPr>
        <w:spacing w:after="160"/>
      </w:pPr>
      <w:r>
        <w:t xml:space="preserve">Few treaties address cyberspace directly. The Council of Europe's Convention on Cybercrime, Nov. 23, 2001, E.T.S. No. 185 (the Budapest Convention), requires parties to criminalize offenses such as illegal access and system interference and to cooperate in investigations. The guest, a U.S. negotiator of the convention, notes that it does not regulate state-authorized operations; its offenses require conduct "without right," which its Explanatory Report explains does not reach lawful government action. The Tallinn Manual is not a source of law; at most it is a subsidiary means for identifying the law.</w:t>
      </w:r>
    </w:p>
    <w:p>
      <w:pPr>
        <w:pStyle w:val="Heading2"/>
        <w:spacing w:after="120" w:before="240"/>
      </w:pPr>
      <w:r>
        <w:rPr>
          <w:b/>
          <w:bCs/>
        </w:rPr>
        <w:t xml:space="preserve">The Prohibition on the Use of Force</w:t>
      </w:r>
    </w:p>
    <w:p>
      <w:pPr>
        <w:spacing w:after="160"/>
      </w:pPr>
      <w:r>
        <w:t xml:space="preserve">Article 2(4) of the UN Charter provides that "[a]ll Members shall refrain in their international relations from the threat or use of force against the territorial integrity or political independence of any state, or in any other manner inconsistent with the Purposes of the United Nations." The prohibition is also customary law. Force is lawful in self-defense under Article 51, with Security Council authorization under Chapter VII, or with the territorial state's consent.</w:t>
      </w:r>
    </w:p>
    <w:p>
      <w:pPr>
        <w:spacing w:after="160"/>
      </w:pPr>
      <w:r>
        <w:t xml:space="preserve">The Charter followed the Kellogg-Briand Pact, Aug. 27, 1928, 46 Stat. 2343, 94 L.N.T.S. 57, which renounced war as an instrument of national policy. Because states kept using force without calling it "war," the Charter regulates "force" and "armed attack" instead. Russia's label for its invasion of Ukraine, a "special military operation," does not change the analysis.</w:t>
      </w:r>
    </w:p>
    <w:p>
      <w:pPr>
        <w:pStyle w:val="Heading3"/>
        <w:spacing w:after="120" w:before="240"/>
      </w:pPr>
      <w:r>
        <w:rPr>
          <w:b/>
          <w:bCs/>
        </w:rPr>
        <w:t xml:space="preserve">The Effects Approach</w:t>
      </w:r>
    </w:p>
    <w:p>
      <w:pPr>
        <w:spacing w:after="160"/>
      </w:pPr>
      <w:r>
        <w:t xml:space="preserve">The drafters had military force in mind, but the concept has been read to include non-kinetic means, such as chemical and biological weapons. For cyber operations, the prevailing approach asks whether an operation's scale and effects are comparable to those of a non-cyber use of force.</w:t>
      </w:r>
    </w:p>
    <w:p>
      <w:pPr>
        <w:pStyle w:val="ListParagraph"/>
        <w:numPr>
          <w:ilvl w:val="0"/>
          <w:numId w:val="1"/>
        </w:numPr>
        <w:spacing w:after="80"/>
      </w:pPr>
      <w:r>
        <w:rPr>
          <w:b/>
          <w:bCs/>
        </w:rPr>
        <w:t xml:space="preserve">Tallinn Manual 2.0.</w:t>
      </w:r>
      <w:r>
        <w:t xml:space="preserve">Rule 69 states that a cyber operation is a use of force when its scale and effects are comparable to non-cyber operations rising to that level. Its commentary lists factors states may weigh: severity, immediacy, directness, invasiveness, measurability of effects, military character, state involvement, and presumptive legality.</w:t>
      </w:r>
      <w:r>
        <w:rPr>
          <w:i/>
          <w:iCs/>
        </w:rPr>
        <w:t xml:space="preserve">Tallinn Manual 2.0 on the International Law Applicable to Cyber Operations</w:t>
      </w:r>
      <w:r>
        <w:t xml:space="preserve">(Michael N. Schmitt ed., Cambridge Univ. Press 2017).</w:t>
      </w:r>
    </w:p>
    <w:p>
      <w:pPr>
        <w:pStyle w:val="ListParagraph"/>
        <w:numPr>
          <w:ilvl w:val="0"/>
          <w:numId w:val="1"/>
        </w:numPr>
        <w:spacing w:after="80"/>
      </w:pPr>
      <w:r>
        <w:rPr>
          <w:b/>
          <w:bCs/>
        </w:rPr>
        <w:t xml:space="preserve">United States.</w:t>
      </w:r>
      <w:r>
        <w:t xml:space="preserve">"Cyber activities that proximately result in death, injury, or significant destruction would likely be viewed as a use of force." Harold Hongju Koh,</w:t>
      </w:r>
      <w:r>
        <w:rPr>
          <w:i/>
          <w:iCs/>
        </w:rPr>
        <w:t xml:space="preserve">International Law in Cyberspace</w:t>
      </w:r>
      <w:r>
        <w:t xml:space="preserve">, 54 Harv. Int'l L.J. Online 1 (2012).</w:t>
      </w:r>
    </w:p>
    <w:p>
      <w:pPr>
        <w:pStyle w:val="ListParagraph"/>
        <w:numPr>
          <w:ilvl w:val="0"/>
          <w:numId w:val="1"/>
        </w:numPr>
        <w:spacing w:after="80"/>
      </w:pPr>
      <w:r>
        <w:rPr>
          <w:b/>
          <w:bCs/>
        </w:rPr>
        <w:t xml:space="preserve">European Union and African Union.</w:t>
      </w:r>
      <w:r>
        <w:t xml:space="preserve">"Whenever the scale and effects of a cyber operation are comparable to those of a traditional kinetic use of force, it constitutes a use of force within the meaning of Article 2 (4)," and the combined effects of several operations may be considered together. Council of the EU, Declaration on a Common Understanding of International Law in Cyberspace (Nov. 18, 2024). The African Union's 2024 common position takes a similar approach.</w:t>
      </w:r>
    </w:p>
    <w:p>
      <w:pPr>
        <w:spacing w:after="160"/>
      </w:pPr>
      <w:r>
        <w:t xml:space="preserve">Hard cases remain, such as operations that disable critical services or destroy data without physical damage. States rarely apply the test to particular incidents; the United States has never acknowledged Stuxnet, much less characterized it. The original Tallinn Manual experts agreed that Stuxnet was an act of force but divided on whether it was an armed attack. The guest stresses the stakes: an operation one state regards as espionage may look like force to another, and misjudging the threshold can lead to escalation.</w:t>
      </w:r>
    </w:p>
    <w:p>
      <w:pPr>
        <w:pStyle w:val="Heading2"/>
        <w:spacing w:after="120" w:before="240"/>
      </w:pPr>
      <w:r>
        <w:rPr>
          <w:b/>
          <w:bCs/>
        </w:rPr>
        <w:t xml:space="preserve">Armed Attack and Self-Defense</w:t>
      </w:r>
    </w:p>
    <w:p>
      <w:pPr>
        <w:spacing w:after="160"/>
      </w:pPr>
      <w:r>
        <w:t xml:space="preserve">Article 51 of the Charter preserves "the inherent right of individual or collective self-defence if an armed attack occurs," until the Security Council acts. Self-defense must be reported to the Council and must be necessary and proportionate.</w:t>
      </w:r>
    </w:p>
    <w:p>
      <w:pPr>
        <w:spacing w:after="160"/>
      </w:pPr>
      <w:r>
        <w:t xml:space="preserve">In</w:t>
      </w:r>
      <w:r>
        <w:rPr>
          <w:i/>
          <w:iCs/>
        </w:rPr>
        <w:t xml:space="preserve">Military and Paramilitary Activities in and against Nicaragua</w:t>
      </w:r>
      <w:r>
        <w:t xml:space="preserve">(Nicar. v. U.S.), 1986 I.C.J. 14, ¶ 191 (June 27), the International Court of Justice distinguished "the most grave forms of the use of force (those constituting an armed attack) from other less grave forms," and it looked to an operation's "scale and effects" (¶ 195). Under this majority view, which the EU's 2024 declaration reflects, some uses of force, such as a minor border incident, do not permit self-defense. The United States has long held that self-defense potentially applies against any illegal use of force. Koh,</w:t>
      </w:r>
      <w:r>
        <w:rPr>
          <w:i/>
          <w:iCs/>
        </w:rPr>
        <w:t xml:space="preserve">supra</w:t>
      </w:r>
      <w:r>
        <w:t xml:space="preserve">.</w:t>
      </w:r>
    </w:p>
    <w:p>
      <w:pPr>
        <w:pStyle w:val="ListParagraph"/>
        <w:numPr>
          <w:ilvl w:val="0"/>
          <w:numId w:val="1"/>
        </w:numPr>
        <w:spacing w:after="80"/>
      </w:pPr>
      <w:r>
        <w:rPr>
          <w:b/>
          <w:bCs/>
        </w:rPr>
        <w:t xml:space="preserve">Cross-domain responses.</w:t>
      </w:r>
      <w:r>
        <w:t xml:space="preserve">A state that suffers a cyber armed attack may respond with any lawful force, kinetic or cyber, subject to necessity and proportionality. As the guest puts it, cyber need not be met by cyber. Tallinn Manual 2.0, Rule 71.</w:t>
      </w:r>
    </w:p>
    <w:p>
      <w:pPr>
        <w:pStyle w:val="ListParagraph"/>
        <w:numPr>
          <w:ilvl w:val="0"/>
          <w:numId w:val="1"/>
        </w:numPr>
        <w:spacing w:after="80"/>
      </w:pPr>
      <w:r>
        <w:rPr>
          <w:b/>
          <w:bCs/>
        </w:rPr>
        <w:t xml:space="preserve">Collective self-defense.</w:t>
      </w:r>
      <w:r>
        <w:t xml:space="preserve">Other states may assist a victim of an armed attack at its request.</w:t>
      </w:r>
      <w:r>
        <w:rPr>
          <w:i/>
          <w:iCs/>
        </w:rPr>
        <w:t xml:space="preserve">Nicaragua</w:t>
      </w:r>
      <w:r>
        <w:t xml:space="preserve">, ¶ 199. Article 5 of the North Atlantic Treaty, Apr. 4, 1949, 63 Stat. 2241, 34 U.N.T.S. 243, provides that an armed attack against one ally "shall be considered an attack against them all." NATO first invoked it after September 11, 2001.</w:t>
      </w:r>
    </w:p>
    <w:p>
      <w:pPr>
        <w:pStyle w:val="Heading3"/>
        <w:spacing w:after="120" w:before="240"/>
      </w:pPr>
      <w:r>
        <w:rPr>
          <w:b/>
          <w:bCs/>
        </w:rPr>
        <w:t xml:space="preserve">Estonia and NATO</w:t>
      </w:r>
    </w:p>
    <w:p>
      <w:pPr>
        <w:spacing w:after="160"/>
      </w:pPr>
      <w:r>
        <w:t xml:space="preserve">In 2007, as Estonia moved a Soviet war memorial from central Tallinn, DDoS attacks disabled government, banking, media, and university websites for weeks. Estonia blamed Russia, which denied involvement. Allies did not treat the attacks as an armed attack under Article 5, since they caused no deaths or physical destruction. NATO instead accredited the Cooperative Cyber Defence Centre of Excellence (CCDCOE) in Tallinn in 2008, which hosts the annual CyCon conference and sponsored the Tallinn Manual (2013) and Tallinn Manual 2.0 (2017). NATO later said that a cyberattack could lead to invocation of Article 5 case by case (2014), recognized cyberspace as a domain of operations (2016), and said that significant malicious cumulative cyber activities might, in certain circumstances, amount to an armed attack (2021).</w:t>
      </w:r>
    </w:p>
    <w:p>
      <w:pPr>
        <w:pStyle w:val="Heading2"/>
        <w:spacing w:after="120" w:before="240"/>
      </w:pPr>
      <w:r>
        <w:rPr>
          <w:b/>
          <w:bCs/>
        </w:rPr>
        <w:t xml:space="preserve">State Responsibility and Proxies</w:t>
      </w:r>
    </w:p>
    <w:p>
      <w:pPr>
        <w:spacing w:after="160"/>
      </w:pPr>
      <w:r>
        <w:t xml:space="preserve">A state is responsible for an internationally wrongful act when conduct attributable to it breaches an international obligation. Articles on Responsibility of States for Internationally Wrongful Acts art. 2, G.A. Res. 56/83, annex (Dec. 12, 2001) (ARSIWA). Attribution follows several rules:</w:t>
      </w:r>
    </w:p>
    <w:p>
      <w:pPr>
        <w:pStyle w:val="ListParagraph"/>
        <w:numPr>
          <w:ilvl w:val="0"/>
          <w:numId w:val="1"/>
        </w:numPr>
        <w:spacing w:after="80"/>
      </w:pPr>
      <w:r>
        <w:rPr>
          <w:b/>
          <w:bCs/>
        </w:rPr>
        <w:t xml:space="preserve">State organs.</w:t>
      </w:r>
      <w:r>
        <w:t xml:space="preserve">The conduct of state organs, such as military cyber units, is attributable even if they exceed their authority. ARSIWA arts. 4, 7.</w:t>
      </w:r>
    </w:p>
    <w:p>
      <w:pPr>
        <w:pStyle w:val="ListParagraph"/>
        <w:numPr>
          <w:ilvl w:val="0"/>
          <w:numId w:val="1"/>
        </w:numPr>
        <w:spacing w:after="80"/>
      </w:pPr>
      <w:r>
        <w:rPr>
          <w:b/>
          <w:bCs/>
        </w:rPr>
        <w:t xml:space="preserve">Instructions, direction, or control.</w:t>
      </w:r>
      <w:r>
        <w:t xml:space="preserve">The conduct of private persons is attributable if they act "on the instructions of, or under the direction or control of," the state. ARSIWA art. 8. In</w:t>
      </w:r>
      <w:r>
        <w:rPr>
          <w:i/>
          <w:iCs/>
        </w:rPr>
        <w:t xml:space="preserve">Nicaragua</w:t>
      </w:r>
      <w:r>
        <w:t xml:space="preserve">, the Court held that U.S. financing, training, and supply of the</w:t>
      </w:r>
      <w:r>
        <w:rPr>
          <w:i/>
          <w:iCs/>
        </w:rPr>
        <w:t xml:space="preserve">contras</w:t>
      </w:r>
      <w:r>
        <w:t xml:space="preserve">did not make their violations attributable to the United States absent "effective control of the military or paramilitary operations in the course of which the alleged violations were committed." 1986 I.C.J. 14, ¶ 115.</w:t>
      </w:r>
    </w:p>
    <w:p>
      <w:pPr>
        <w:pStyle w:val="ListParagraph"/>
        <w:numPr>
          <w:ilvl w:val="0"/>
          <w:numId w:val="1"/>
        </w:numPr>
        <w:spacing w:after="80"/>
      </w:pPr>
      <w:r>
        <w:rPr>
          <w:b/>
          <w:bCs/>
        </w:rPr>
        <w:t xml:space="preserve">Overall control.</w:t>
      </w:r>
      <w:r>
        <w:t xml:space="preserve">The Yugoslavia tribunal applied a broader "overall control" test to decide whether a conflict was international.</w:t>
      </w:r>
      <w:r>
        <w:rPr>
          <w:i/>
          <w:iCs/>
        </w:rPr>
        <w:t xml:space="preserve">Prosecutor v. Tadić</w:t>
      </w:r>
      <w:r>
        <w:t xml:space="preserve">, Case No. IT-94-1-A, Judgment, ¶¶ 98&amp;ndash;145 (Int'l Crim. Trib. for the Former Yugoslavia July 15, 1999). The ICJ declined to adopt that test for state responsibility.</w:t>
      </w:r>
      <w:r>
        <w:rPr>
          <w:i/>
          <w:iCs/>
        </w:rPr>
        <w:t xml:space="preserve">Application of the Convention on the Prevention and Punishment of the Crime of Genocide</w:t>
      </w:r>
      <w:r>
        <w:t xml:space="preserve">(Bosn. &amp; Herz. v. Serb. &amp; Montenegro), 2007 I.C.J. 43, ¶¶ 402&amp;ndash;407 (Feb. 26).</w:t>
      </w:r>
    </w:p>
    <w:p>
      <w:pPr>
        <w:spacing w:after="160"/>
      </w:pPr>
      <w:r>
        <w:t xml:space="preserve">The guest argues that the effective control standard, developed for Cold War proxy conflicts, fits poorly with cyber proxies. Funding a group, or even supplying malware, may fall short, and states know where the line lies. The 2021 GGE report reaffirmed that "States must not use proxies to commit internationally wrongful acts using ICTs," while cautioning that the fact that an operation originates from a state's territory "may be insufficient in itself" to attribute it to that state. A/76/135, ¶ 71(g).</w:t>
      </w:r>
    </w:p>
    <w:p>
      <w:pPr>
        <w:pStyle w:val="Heading3"/>
        <w:spacing w:after="120" w:before="240"/>
      </w:pPr>
      <w:r>
        <w:rPr>
          <w:b/>
          <w:bCs/>
        </w:rPr>
        <w:t xml:space="preserve">Attribution in Practice</w:t>
      </w:r>
    </w:p>
    <w:p>
      <w:pPr>
        <w:spacing w:after="160"/>
      </w:pPr>
      <w:r>
        <w:t xml:space="preserve">The internet's architecture permits anonymity and routing through intermediary "stepping stones." In the 1998 Solar Sunrise intrusions, Defense Department officials suspected Iraq, but the intruders were two California teenagers and an Israeli accomplice. Attribution has since improved through pattern analysis by states and large technology and cloud companies, combined with other intelligence. Public attributions are now common: the United States named North Korea for the 2014 Sony Pictures hack, a federal grand jury indicted Russia's Internet Research Agency over the 2016 election,</w:t>
      </w:r>
      <w:r>
        <w:rPr>
          <w:i/>
          <w:iCs/>
        </w:rPr>
        <w:t xml:space="preserve">United States v. Internet Research Agency LLC</w:t>
      </w:r>
      <w:r>
        <w:t xml:space="preserve">, No. 1:18-cr-00032 (D.D.C. Feb. 16, 2018), and groups of states jointly attributed WannaCry (December 2017), NotPetya (February 2018), and the Viasat KA-SAT attack (May 2022). False flags complicate the picture. The April 2015 attack on French broadcaster TV5Monde was claimed by a self-styled "CyberCaliphate," but investigators later linked it to the Russia-associated group APT28.</w:t>
      </w:r>
    </w:p>
    <w:p>
      <w:pPr>
        <w:pStyle w:val="Heading2"/>
        <w:spacing w:after="120" w:before="240"/>
      </w:pPr>
      <w:r>
        <w:rPr>
          <w:b/>
          <w:bCs/>
        </w:rPr>
        <w:t xml:space="preserve">Due Diligence</w:t>
      </w:r>
    </w:p>
    <w:p>
      <w:pPr>
        <w:spacing w:after="160"/>
      </w:pPr>
      <w:r>
        <w:t xml:space="preserve">Due diligence offers a different route to accountability. In</w:t>
      </w:r>
      <w:r>
        <w:rPr>
          <w:i/>
          <w:iCs/>
        </w:rPr>
        <w:t xml:space="preserve">Corfu Channel</w:t>
      </w:r>
      <w:r>
        <w:t xml:space="preserve">(U.K. v. Alb.), 1949 I.C.J. 4, 22 (Apr. 9), the Court recognized "every State's obligation not to allow knowingly its territory to be used for acts contrary to the rights of other States." Applied to cyberspace, a state that knows harmful operations are coming from its territory may have to take feasible steps to stop them, even if it does not control the actors.</w:t>
      </w:r>
    </w:p>
    <w:p>
      <w:pPr>
        <w:spacing w:after="160"/>
      </w:pPr>
      <w:r>
        <w:t xml:space="preserve">States disagree on the principle's status. The 2015 GGE framed it as a voluntary norm (norm 13(c)); the 2021 report adds that a state aware of a wrongful act emanating from or transiting its territory is expected to take "all appropriate and reasonably available and feasible steps" to address it. A/76/135, ¶ 29. The African Union's 2024 position treats due diligence as a binding obligation of conduct, not of result, scaled to a state's capacity, and the EU's declaration also recognizes it. The guest sees growing consensus that states must act against harmful operations from their territory.</w:t>
      </w:r>
    </w:p>
    <w:p>
      <w:pPr>
        <w:spacing w:after="160"/>
      </w:pPr>
      <w:r>
        <w:t xml:space="preserve">After the May 2021 ransomware attack on Colonial Pipeline, which the FBI attributed to the DarkSide criminal group, President Biden pressed President Putin at their June 2021 summit to act against criminals in Russia. The guest distinguishes this obligation from the contested "unwilling or unable" theory, under which a victim may use force in another state's territory if that state will not or cannot address a threat. He notes that Russia invoked similar reasoning, without factual basis, to justify invading Ukraine.</w:t>
      </w:r>
    </w:p>
    <w:p>
      <w:pPr>
        <w:pStyle w:val="Heading2"/>
        <w:spacing w:after="120" w:before="240"/>
      </w:pPr>
      <w:r>
        <w:rPr>
          <w:b/>
          <w:bCs/>
        </w:rPr>
        <w:t xml:space="preserve">Influence Operations</w:t>
      </w:r>
    </w:p>
    <w:p>
      <w:pPr>
        <w:spacing w:after="160"/>
      </w:pPr>
      <w:r>
        <w:t xml:space="preserve">Influence operations, once called psychological operations, seek to change minds rather than damage systems. The guest's examples are the Internet Research Agency's use of false social media personas around the 2016 U.S. election and government promotion of vaccine hesitancy during the COVID-19 pandemic.</w:t>
      </w:r>
    </w:p>
    <w:p>
      <w:pPr>
        <w:pStyle w:val="ListParagraph"/>
        <w:numPr>
          <w:ilvl w:val="0"/>
          <w:numId w:val="1"/>
        </w:numPr>
        <w:spacing w:after="80"/>
      </w:pPr>
      <w:r>
        <w:rPr>
          <w:b/>
          <w:bCs/>
        </w:rPr>
        <w:t xml:space="preserve">Non-intervention.</w:t>
      </w:r>
      <w:r>
        <w:t xml:space="preserve">States may not coercively intervene in matters within another state's domestic jurisdiction, such as the choice of a political system.</w:t>
      </w:r>
      <w:r>
        <w:rPr>
          <w:i/>
          <w:iCs/>
        </w:rPr>
        <w:t xml:space="preserve">Nicaragua</w:t>
      </w:r>
      <w:r>
        <w:t xml:space="preserve">, ¶ 205; G.A. Res. 2625 (XXV) (Oct. 24, 1970). The most effective influence operation, the guest observes, is not coercive in the traditional sense, since its targets believe they are deciding freely. States differ on how far coercion extends.</w:t>
      </w:r>
    </w:p>
    <w:p>
      <w:pPr>
        <w:pStyle w:val="ListParagraph"/>
        <w:numPr>
          <w:ilvl w:val="0"/>
          <w:numId w:val="1"/>
        </w:numPr>
        <w:spacing w:after="80"/>
      </w:pPr>
      <w:r>
        <w:rPr>
          <w:b/>
          <w:bCs/>
        </w:rPr>
        <w:t xml:space="preserve">Human rights.</w:t>
      </w:r>
      <w:r>
        <w:t xml:space="preserve">A government's disinformation aimed at its own people may violate the rights to life and to seek and receive information, International Covenant on Civil and Political Rights arts. 6, 19, 999 U.N.T.S. 171, and the right to health, International Covenant on Economic, Social and Cultural Rights art. 12, 993 U.N.T.S. 3.</w:t>
      </w:r>
    </w:p>
    <w:p>
      <w:pPr>
        <w:spacing w:after="160"/>
      </w:pPr>
      <w:r>
        <w:t xml:space="preserve">Because regulating content risks restricting free expression, the guest suggests regulating form: a government should not be able to disguise itself as a non-governmental speaker. He also asks whether the answer lies in international law or in platform regulation. The Oxford Process statements on electoral interference (2020) and information operations (2021) address these questions.</w:t>
      </w:r>
    </w:p>
    <w:p>
      <w:pPr>
        <w:pStyle w:val="Heading2"/>
        <w:spacing w:after="120" w:before="240"/>
      </w:pPr>
      <w:r>
        <w:rPr>
          <w:b/>
          <w:bCs/>
        </w:rPr>
        <w:t xml:space="preserve">Countermeasures</w:t>
      </w:r>
    </w:p>
    <w:p>
      <w:pPr>
        <w:spacing w:after="160"/>
      </w:pPr>
      <w:r>
        <w:t xml:space="preserve">Before the world wars, states often answered violations of their rights with armed reprisals. Today, outside self-defense, a victim state may respond with countermeasures: acts that would otherwise be unlawful but whose wrongfulness is precluded because they respond to another state's internationally wrongful act. ARSIWA arts. 22, 49&amp;ndash;54. Requirements include:</w:t>
      </w:r>
    </w:p>
    <w:p>
      <w:pPr>
        <w:pStyle w:val="ListParagraph"/>
        <w:numPr>
          <w:ilvl w:val="0"/>
          <w:numId w:val="1"/>
        </w:numPr>
        <w:spacing w:after="80"/>
      </w:pPr>
      <w:r>
        <w:t xml:space="preserve">Countermeasures must aim to induce the responsible state to comply, and must be temporary and, as far as possible, reversible. Arts. 49, 53.</w:t>
      </w:r>
    </w:p>
    <w:p>
      <w:pPr>
        <w:pStyle w:val="ListParagraph"/>
        <w:numPr>
          <w:ilvl w:val="0"/>
          <w:numId w:val="1"/>
        </w:numPr>
        <w:spacing w:after="80"/>
      </w:pPr>
      <w:r>
        <w:t xml:space="preserve">They must be proportionate to the injury suffered. Art. 51.</w:t>
      </w:r>
    </w:p>
    <w:p>
      <w:pPr>
        <w:pStyle w:val="ListParagraph"/>
        <w:numPr>
          <w:ilvl w:val="0"/>
          <w:numId w:val="1"/>
        </w:numPr>
        <w:spacing w:after="80"/>
      </w:pPr>
      <w:r>
        <w:t xml:space="preserve">They may not involve the threat or use of force, and may not affect obligations protecting fundamental human rights, humanitarian obligations prohibiting reprisals, or other peremptory norms. Art. 50.</w:t>
      </w:r>
    </w:p>
    <w:p>
      <w:pPr>
        <w:pStyle w:val="ListParagraph"/>
        <w:numPr>
          <w:ilvl w:val="0"/>
          <w:numId w:val="1"/>
        </w:numPr>
        <w:spacing w:after="80"/>
      </w:pPr>
      <w:r>
        <w:t xml:space="preserve">Ordinarily, the injured state must call on the responsible state to comply and notify it of the intended countermeasures. Art. 52.</w:t>
      </w:r>
    </w:p>
    <w:p>
      <w:pPr>
        <w:spacing w:after="160"/>
      </w:pPr>
      <w:r>
        <w:t xml:space="preserve">The guest compares countermeasures to retaliatory trade measures, and notes the difficulty of conducting cyber countermeasures without affecting individuals' rights. After Stuxnet, Iranian actors conducted DDoS attacks on U.S. banks from 2011 to 2013, for which the Justice Department charged seven Iranians in 2016. The guest also recounts U.S. messages to Internet Research Agency employees signaling that their activity was not costless.</w:t>
      </w:r>
    </w:p>
    <w:p>
      <w:pPr>
        <w:pStyle w:val="Heading3"/>
        <w:spacing w:after="120" w:before="240"/>
      </w:pPr>
      <w:r>
        <w:rPr>
          <w:b/>
          <w:bCs/>
        </w:rPr>
        <w:t xml:space="preserve">Collective Countermeasures</w:t>
      </w:r>
    </w:p>
    <w:p>
      <w:pPr>
        <w:spacing w:after="160"/>
      </w:pPr>
      <w:r>
        <w:t xml:space="preserve">Whether states not directly injured may take countermeasures on a victim's behalf is unsettled. ARSIWA article 54 reserves only "lawful measures" by non-injured states, and most Tallinn Manual 2.0 experts concluded that only an injured state may take countermeasures (Rule 24). National positions diverge:</w:t>
      </w:r>
    </w:p>
    <w:p>
      <w:pPr>
        <w:pStyle w:val="ListParagraph"/>
        <w:numPr>
          <w:ilvl w:val="0"/>
          <w:numId w:val="1"/>
        </w:numPr>
        <w:spacing w:after="80"/>
      </w:pPr>
      <w:r>
        <w:rPr>
          <w:b/>
          <w:bCs/>
        </w:rPr>
        <w:t xml:space="preserve">In favor or open:</w:t>
      </w:r>
      <w:r>
        <w:t xml:space="preserve">Estonia (President Kersti Kaljulaid, CyCon, May 2019), New Zealand (2020), Poland (2022), Ireland (2023), and Costa Rica (2023).</w:t>
      </w:r>
    </w:p>
    <w:p>
      <w:pPr>
        <w:pStyle w:val="ListParagraph"/>
        <w:numPr>
          <w:ilvl w:val="0"/>
          <w:numId w:val="1"/>
        </w:numPr>
        <w:spacing w:after="80"/>
      </w:pPr>
      <w:r>
        <w:rPr>
          <w:b/>
          <w:bCs/>
        </w:rPr>
        <w:t xml:space="preserve">Opposed or skeptical:</w:t>
      </w:r>
      <w:r>
        <w:t xml:space="preserve">France, which stated in 2019 that collective countermeasures are not authorized, and Canada (2022), which found insufficient state practice and</w:t>
      </w:r>
      <w:r>
        <w:rPr>
          <w:i/>
          <w:iCs/>
        </w:rPr>
        <w:t xml:space="preserve">opinio juris</w:t>
      </w:r>
      <w:r>
        <w:t xml:space="preserve">. Denmark (2023) considers the question unsettled.</w:t>
      </w:r>
    </w:p>
    <w:p>
      <w:pPr>
        <w:spacing w:after="160"/>
      </w:pPr>
      <w:r>
        <w:t xml:space="preserve">Supporters argue that states with limited capabilities need help from allies; opponents warn that collective responses could be escalatory.</w:t>
      </w:r>
    </w:p>
    <w:p>
      <w:pPr>
        <w:pStyle w:val="Heading2"/>
        <w:spacing w:after="120" w:before="240"/>
      </w:pPr>
      <w:r>
        <w:rPr>
          <w:b/>
          <w:bCs/>
        </w:rPr>
        <w:t xml:space="preserve">Developments to Know</w:t>
      </w:r>
    </w:p>
    <w:p>
      <w:pPr>
        <w:pStyle w:val="ListParagraph"/>
        <w:numPr>
          <w:ilvl w:val="0"/>
          <w:numId w:val="1"/>
        </w:numPr>
        <w:spacing w:after="80"/>
      </w:pPr>
      <w:r>
        <w:rPr>
          <w:b/>
          <w:bCs/>
        </w:rPr>
        <w:t xml:space="preserve">Ukraine.</w:t>
      </w:r>
      <w:r>
        <w:t xml:space="preserve">As of October 2026 the war continues. On February 24, 2022, a cyberattack on Viasat's KA-SAT network disrupted satellite internet service in Ukraine and affected users elsewhere in Europe; the EU, the United Kingdom, the United States, and others attributed it to Russia on May 10, 2022. In April 2022, Ukrainian authorities and the security firm ESET reported a foiled attempt by the Russia-linked Sandworm group to disrupt high-voltage substations with Industroyer2 malware. SIPRI describes both sides' cyber operations through 2025 as widespread and persistent.</w:t>
      </w:r>
    </w:p>
    <w:p>
      <w:pPr>
        <w:pStyle w:val="ListParagraph"/>
        <w:numPr>
          <w:ilvl w:val="0"/>
          <w:numId w:val="1"/>
        </w:numPr>
        <w:spacing w:after="80"/>
      </w:pPr>
      <w:r>
        <w:rPr>
          <w:b/>
          <w:bCs/>
        </w:rPr>
        <w:t xml:space="preserve">Pre-positioning.</w:t>
      </w:r>
      <w:r>
        <w:t xml:space="preserve">A February 7, 2024 joint advisory by U.S. and allied agencies assessed that PRC state-sponsored actors known as Volt Typhoon were "seeking to pre-position themselves on IT networks for disruptive or destructive cyberattacks against U.S. critical infrastructure in the event of a major crisis or conflict." In August 2025 the FBI said the Salt Typhoon campaign had targeted more than 80 countries. China denies the allegations. Because access alone causes no damage, pre-positioning raises questions the use-of-force framework does not squarely answer.</w:t>
      </w:r>
    </w:p>
    <w:p>
      <w:pPr>
        <w:pStyle w:val="ListParagraph"/>
        <w:numPr>
          <w:ilvl w:val="0"/>
          <w:numId w:val="1"/>
        </w:numPr>
        <w:spacing w:after="80"/>
      </w:pPr>
      <w:r>
        <w:rPr>
          <w:b/>
          <w:bCs/>
        </w:rPr>
        <w:t xml:space="preserve">The UN Global Mechanism.</w:t>
      </w:r>
      <w:r>
        <w:t xml:space="preserve">The 2021&amp;ndash;2025 Open-Ended Working Group adopted its final report on July 11, 2025, establishing a permanent Global Mechanism on ICT security. It held an organizational session in March 2026 and its first substantive plenary on July 20&amp;ndash;24, 2026. It works through annual plenaries and two thematic groups, one general and one on capacity building. Differences over how international law applies continue.</w:t>
      </w:r>
    </w:p>
    <w:p>
      <w:pPr>
        <w:pStyle w:val="ListParagraph"/>
        <w:numPr>
          <w:ilvl w:val="0"/>
          <w:numId w:val="1"/>
        </w:numPr>
        <w:spacing w:after="80"/>
      </w:pPr>
      <w:r>
        <w:rPr>
          <w:b/>
          <w:bCs/>
        </w:rPr>
        <w:t xml:space="preserve">UN Convention against Cybercrime.</w:t>
      </w:r>
      <w:r>
        <w:t xml:space="preserve">Adopted December 24, 2024 (G.A. Res. 79/243), the convention opened for signature in Hanoi on October 25, 2025, and remains open at UN Headquarters until December 31, 2026. As of October 6, 2026, it had 95 signatories and 3 parties; it enters into force 90 days after the 40th ratification. The United States has not signed. It addresses criminal offenses and cooperation, not state cyber operations. The Budapest Convention has 83 parties.</w:t>
      </w:r>
    </w:p>
    <w:p>
      <w:pPr>
        <w:pStyle w:val="ListParagraph"/>
        <w:numPr>
          <w:ilvl w:val="0"/>
          <w:numId w:val="1"/>
        </w:numPr>
        <w:spacing w:after="80"/>
      </w:pPr>
      <w:r>
        <w:rPr>
          <w:b/>
          <w:bCs/>
        </w:rPr>
        <w:t xml:space="preserve">National and regional positions.</w:t>
      </w:r>
      <w:r>
        <w:t xml:space="preserve">SIPRI reports that 35 states have published national positions on international law in cyberspace. The African Union Peace and Security Council adopted a Common African Position on January 29, 2024, and the Council of the EU approved a declaration on November 18, 2024. Both use a scale-and-effects test for the use of force.</w:t>
      </w:r>
    </w:p>
    <w:p>
      <w:pPr>
        <w:pStyle w:val="ListParagraph"/>
        <w:numPr>
          <w:ilvl w:val="0"/>
          <w:numId w:val="1"/>
        </w:numPr>
        <w:spacing w:after="80"/>
      </w:pPr>
      <w:r>
        <w:rPr>
          <w:b/>
          <w:bCs/>
        </w:rPr>
        <w:t xml:space="preserve">Tallinn Manual 3.0.</w:t>
      </w:r>
      <w:r>
        <w:t xml:space="preserve">The CCDCOE launched a five-year project in 2021 to revise the 2017 edition. As of October 2026 it had not been published.</w:t>
      </w:r>
    </w:p>
    <w:p>
      <w:pPr>
        <w:pStyle w:val="ListParagraph"/>
        <w:numPr>
          <w:ilvl w:val="0"/>
          <w:numId w:val="1"/>
        </w:numPr>
        <w:spacing w:after="80"/>
      </w:pPr>
      <w:r>
        <w:rPr>
          <w:b/>
          <w:bCs/>
        </w:rPr>
        <w:t xml:space="preserve">U.S. policy.</w:t>
      </w:r>
      <w:r>
        <w:t xml:space="preserve">President Trump's Cyber Strategy for America (March 6, 2026) commits to "the full suite of U.S. government defensive and offensive cyber operations" and states that the United States "will not confine our responses to the 'cyber' realm." A companion executive order on cybercrime directs diplomatic engagement with foreign governments, with possible consequences such as sanctions and visa restrictions for countries that do not act against criminal networks.</w:t>
      </w:r>
    </w:p>
    <w:p>
      <w:pPr>
        <w:pStyle w:val="ListParagraph"/>
        <w:numPr>
          <w:ilvl w:val="0"/>
          <w:numId w:val="1"/>
        </w:numPr>
        <w:spacing w:after="80"/>
      </w:pPr>
      <w:r>
        <w:rPr>
          <w:b/>
          <w:bCs/>
        </w:rPr>
        <w:t xml:space="preserve">NATO.</w:t>
      </w:r>
      <w:r>
        <w:t xml:space="preserve">At the 2024 Washington Summit, allies agreed to establish an Integrated Cyber Defence Centre; the case-by-case approach to Article 5 remains.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2026-10-07T01:46:59.339Z</dcterms:created>
  <dcterms:modified xsi:type="dcterms:W3CDTF">2026-10-07T01:46:59.339Z</dcterms:modified>
</cp:coreProperties>
</file>

<file path=docProps/custom.xml><?xml version="1.0" encoding="utf-8"?>
<Properties xmlns="http://schemas.openxmlformats.org/officeDocument/2006/custom-properties" xmlns:vt="http://schemas.openxmlformats.org/officeDocument/2006/docPropsVTypes"/>
</file>