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Trans Inclusion in the Legal Profession</w:t>
      </w:r>
    </w:p>
    <w:p>
      <w:pPr>
        <w:spacing w:after="200"/>
      </w:pPr>
      <w:r>
        <w:rPr>
          <w:rFonts w:ascii="Montserrat" w:cs="Montserrat" w:eastAsia="Montserrat" w:hAnsi="Montserrat"/>
          <w:b/>
          <w:bCs/>
          <w:color w:val="E87722"/>
          <w:sz w:val="24"/>
          <w:szCs w:val="24"/>
        </w:rPr>
        <w:t xml:space="preserve">M. Dru Levasseur</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the inclusion of transgender and non-binary people in the legal profession. The guest, M. Dru Levasseur, draws on his transition during law school, a decade of impact litigation at Lambda Legal, and his work as Director of Diversity, Equity, and Inclusion for the National LGBTQ+ Bar Association. Topics include etiquette, pronouns, and misgendering; the fear of making mistakes; retention, mentoring, and sponsorship; self-identification; restrooms; benefits; bias; allyship; and the legal framework, including later developments.</w:t>
      </w:r>
    </w:p>
    <w:p>
      <w:pPr>
        <w:pStyle w:val="Heading2"/>
        <w:spacing w:after="120" w:before="240"/>
      </w:pPr>
      <w:r>
        <w:rPr>
          <w:b/>
          <w:bCs/>
        </w:rPr>
        <w:t xml:space="preserve">Learning Objectives</w:t>
      </w:r>
    </w:p>
    <w:p>
      <w:pPr>
        <w:pStyle w:val="ListParagraph"/>
        <w:numPr>
          <w:ilvl w:val="0"/>
          <w:numId w:val="1"/>
        </w:numPr>
        <w:spacing w:after="80"/>
      </w:pPr>
      <w:r>
        <w:t xml:space="preserve">Identify practices that reduce misgendering and other microaggressions, and questions to avoid.</w:t>
      </w:r>
    </w:p>
    <w:p>
      <w:pPr>
        <w:pStyle w:val="ListParagraph"/>
        <w:numPr>
          <w:ilvl w:val="0"/>
          <w:numId w:val="1"/>
        </w:numPr>
        <w:spacing w:after="80"/>
      </w:pPr>
      <w:r>
        <w:t xml:space="preserve">Explain why fear of making mistakes impedes inclusion and how to respond to a mistake.</w:t>
      </w:r>
    </w:p>
    <w:p>
      <w:pPr>
        <w:pStyle w:val="ListParagraph"/>
        <w:numPr>
          <w:ilvl w:val="0"/>
          <w:numId w:val="1"/>
        </w:numPr>
        <w:spacing w:after="80"/>
      </w:pPr>
      <w:r>
        <w:t xml:space="preserve">Describe data on the representation and advancement of LGBTQ+ lawyers and the role of mentoring and sponsorship.</w:t>
      </w:r>
    </w:p>
    <w:p>
      <w:pPr>
        <w:pStyle w:val="ListParagraph"/>
        <w:numPr>
          <w:ilvl w:val="0"/>
          <w:numId w:val="1"/>
        </w:numPr>
        <w:spacing w:after="80"/>
      </w:pPr>
      <w:r>
        <w:t xml:space="preserve">Evaluate practices on self-identification, restrooms, and health benefits.</w:t>
      </w:r>
    </w:p>
    <w:p>
      <w:pPr>
        <w:pStyle w:val="ListParagraph"/>
        <w:numPr>
          <w:ilvl w:val="0"/>
          <w:numId w:val="1"/>
        </w:numPr>
        <w:spacing w:after="80"/>
      </w:pPr>
      <w:r>
        <w:t xml:space="preserve">Summarize the legal framework for gender identity discrimination in employment, including</w:t>
      </w:r>
      <w:r>
        <w:rPr>
          <w:i/>
          <w:iCs/>
        </w:rPr>
        <w:t xml:space="preserve">Bostock v. Clayton County</w:t>
      </w:r>
      <w:r>
        <w:t xml:space="preserve">and professional conduct rules on bias.</w:t>
      </w:r>
    </w:p>
    <w:p>
      <w:pPr>
        <w:pStyle w:val="ListParagraph"/>
        <w:numPr>
          <w:ilvl w:val="0"/>
          <w:numId w:val="1"/>
        </w:numPr>
        <w:spacing w:after="80"/>
      </w:pPr>
      <w:r>
        <w:t xml:space="preserve">Assess recent developments and their implications for law firm inclusion programs.</w:t>
      </w:r>
    </w:p>
    <w:p>
      <w:pPr>
        <w:pStyle w:val="Heading2"/>
        <w:spacing w:after="120" w:before="240"/>
      </w:pPr>
      <w:r>
        <w:rPr>
          <w:b/>
          <w:bCs/>
        </w:rPr>
        <w:t xml:space="preserve">Background: Isolation and Community</w:t>
      </w:r>
    </w:p>
    <w:p>
      <w:pPr>
        <w:spacing w:after="160"/>
      </w:pPr>
      <w:r>
        <w:t xml:space="preserve">The guest transitioned in law school, faced harassment by classmates, and found support from a clinical professor, not herself LGBTQ+, who committed to helping him without claiming expertise. Knowing of no other transgender students or faculty at his school, he found community at the National LGBTQ+ Bar Association's Lavender Law conference, where he met Judge Phyllis Frye of Texas and, with executive director D'Arcy Kemnitz's support, organized a transgender networking reception of about 20 people that later grew into a transgender institute with some 200 registrants.</w:t>
      </w:r>
    </w:p>
    <w:p>
      <w:pPr>
        <w:spacing w:after="160"/>
      </w:pPr>
      <w:r>
        <w:t xml:space="preserve">He describes a "legal closet": the share of people identifying as LGBTQ+ is higher in law school than in practice, which he attributes to workplaces that do not feel safe. Coming out is a personal choice, and because no one knows who is in the room, including colleagues with transgender children, inclusive conduct should never depend on assuming no transgender person is present.</w:t>
      </w:r>
    </w:p>
    <w:p>
      <w:pPr>
        <w:pStyle w:val="Heading2"/>
        <w:spacing w:after="120" w:before="240"/>
      </w:pPr>
      <w:r>
        <w:rPr>
          <w:b/>
          <w:bCs/>
        </w:rPr>
        <w:t xml:space="preserve">Etiquette, Terminology, and the Fear of Making Mistakes</w:t>
      </w:r>
    </w:p>
    <w:p>
      <w:pPr>
        <w:spacing w:after="160"/>
      </w:pPr>
      <w:r>
        <w:t xml:space="preserve">Polling audiences totaling roughly 20,000 legal professionals, the guest finds that the most commonly cited barrier to LGBTQ+ inclusion is fear of making a mistake. He attributes this to a profession of well-meaning perfectionists and recommends education so lawyers gain confidence before, not through, uncomfortable interactions.</w:t>
      </w:r>
    </w:p>
    <w:p>
      <w:pPr>
        <w:pStyle w:val="Heading3"/>
        <w:spacing w:after="120" w:before="240"/>
      </w:pPr>
      <w:r>
        <w:rPr>
          <w:b/>
          <w:bCs/>
        </w:rPr>
        <w:t xml:space="preserve">Key Terms</w:t>
      </w:r>
    </w:p>
    <w:p>
      <w:pPr>
        <w:pStyle w:val="ListParagraph"/>
        <w:numPr>
          <w:ilvl w:val="0"/>
          <w:numId w:val="1"/>
        </w:numPr>
        <w:spacing w:after="80"/>
      </w:pPr>
      <w:r>
        <w:rPr>
          <w:b/>
          <w:bCs/>
        </w:rPr>
        <w:t xml:space="preserve">Transgender</w:t>
      </w:r>
      <w:r>
        <w:t xml:space="preserve">describes a person whose gender identity differs from the sex assigned at birth;</w:t>
      </w:r>
      <w:r>
        <w:rPr>
          <w:b/>
          <w:bCs/>
        </w:rPr>
        <w:t xml:space="preserve">cisgender</w:t>
      </w:r>
      <w:r>
        <w:t xml:space="preserve">describes a person who is not transgender.</w:t>
      </w:r>
    </w:p>
    <w:p>
      <w:pPr>
        <w:pStyle w:val="ListParagraph"/>
        <w:numPr>
          <w:ilvl w:val="0"/>
          <w:numId w:val="1"/>
        </w:numPr>
        <w:spacing w:after="80"/>
      </w:pPr>
      <w:r>
        <w:rPr>
          <w:b/>
          <w:bCs/>
        </w:rPr>
        <w:t xml:space="preserve">Non-binary</w:t>
      </w:r>
      <w:r>
        <w:t xml:space="preserve">describes a person whose gender identity is not exclusively male or female. Many non-binary people use they/them pronouns and may use the honorific</w:t>
      </w:r>
      <w:r>
        <w:rPr>
          <w:b/>
          <w:bCs/>
        </w:rPr>
        <w:t xml:space="preserve">Mx.</w:t>
      </w:r>
    </w:p>
    <w:p>
      <w:pPr>
        <w:pStyle w:val="ListParagraph"/>
        <w:numPr>
          <w:ilvl w:val="0"/>
          <w:numId w:val="1"/>
        </w:numPr>
        <w:spacing w:after="80"/>
      </w:pPr>
      <w:r>
        <w:rPr>
          <w:b/>
          <w:bCs/>
        </w:rPr>
        <w:t xml:space="preserve">Misgendering</w:t>
      </w:r>
      <w:r>
        <w:t xml:space="preserve">is referring to a person with pronouns or terms that do not match the person's gender identity.</w:t>
      </w:r>
    </w:p>
    <w:p>
      <w:pPr>
        <w:pStyle w:val="ListParagraph"/>
        <w:numPr>
          <w:ilvl w:val="0"/>
          <w:numId w:val="1"/>
        </w:numPr>
        <w:spacing w:after="80"/>
      </w:pPr>
      <w:r>
        <w:rPr>
          <w:b/>
          <w:bCs/>
        </w:rPr>
        <w:t xml:space="preserve">Stealth</w:t>
      </w:r>
      <w:r>
        <w:t xml:space="preserve">describes a transgender person who is not openly transgender.</w:t>
      </w:r>
    </w:p>
    <w:p>
      <w:pPr>
        <w:pStyle w:val="Heading3"/>
        <w:spacing w:after="120" w:before="240"/>
      </w:pPr>
      <w:r>
        <w:rPr>
          <w:b/>
          <w:bCs/>
        </w:rPr>
        <w:t xml:space="preserve">Practices the Guest Recommends</w:t>
      </w:r>
    </w:p>
    <w:p>
      <w:pPr>
        <w:pStyle w:val="ListParagraph"/>
        <w:numPr>
          <w:ilvl w:val="0"/>
          <w:numId w:val="1"/>
        </w:numPr>
        <w:spacing w:after="80"/>
      </w:pPr>
      <w:r>
        <w:t xml:space="preserve">Do not ask a person's former name or make transgender colleagues the default educators for the office; use outside resources instead.</w:t>
      </w:r>
    </w:p>
    <w:p>
      <w:pPr>
        <w:pStyle w:val="ListParagraph"/>
        <w:numPr>
          <w:ilvl w:val="0"/>
          <w:numId w:val="1"/>
        </w:numPr>
        <w:spacing w:after="80"/>
      </w:pPr>
      <w:r>
        <w:t xml:space="preserve">Use the name and pronouns a colleague uses; the guest recalls being misgendered while representing a client before an administrative body, which distracted from the client's matter.</w:t>
      </w:r>
    </w:p>
    <w:p>
      <w:pPr>
        <w:pStyle w:val="ListParagraph"/>
        <w:numPr>
          <w:ilvl w:val="0"/>
          <w:numId w:val="1"/>
        </w:numPr>
        <w:spacing w:after="80"/>
      </w:pPr>
      <w:r>
        <w:t xml:space="preserve">Encourage, rather than merely permit, pronouns in email signatures and introductions, so that the practice does not fall only on those most likely to be misgendered.</w:t>
      </w:r>
    </w:p>
    <w:p>
      <w:pPr>
        <w:pStyle w:val="ListParagraph"/>
        <w:numPr>
          <w:ilvl w:val="0"/>
          <w:numId w:val="1"/>
        </w:numPr>
        <w:spacing w:after="80"/>
      </w:pPr>
      <w:r>
        <w:t xml:space="preserve">When you make a mistake, correct yourself, apologize briefly, and keep practicing; the guest has misgendered others himself. Avoiding transgender colleagues for fear of error is itself harmful.</w:t>
      </w:r>
    </w:p>
    <w:p>
      <w:pPr>
        <w:spacing w:after="160"/>
      </w:pPr>
      <w:r>
        <w:t xml:space="preserve">Merriam-Webster named singular "they" its 2019 word of the year.</w:t>
      </w:r>
    </w:p>
    <w:p>
      <w:pPr>
        <w:pStyle w:val="Heading2"/>
        <w:spacing w:after="120" w:before="240"/>
      </w:pPr>
      <w:r>
        <w:rPr>
          <w:b/>
          <w:bCs/>
        </w:rPr>
        <w:t xml:space="preserve">Representation, Retention, and Advancement</w:t>
      </w:r>
    </w:p>
    <w:p>
      <w:pPr>
        <w:spacing w:after="160"/>
      </w:pPr>
      <w:r>
        <w:t xml:space="preserve">The guest cites NALP data showing LGBTQ+ representation at law firms rising from about 1 percent to about 3 percent over the 16 years NALP had then been tracking it, with the highest representation among summer associates and the lowest among partners, and with gains concentrated among white gay men. Bisexual and transgender lawyers and LGBTQ+ lawyers of color lag. He compares National Association of Women Lawyers data showing a steeper drop-off for women of color between associate and equity partner.</w:t>
      </w:r>
    </w:p>
    <w:p>
      <w:pPr>
        <w:spacing w:after="160"/>
      </w:pPr>
      <w:r>
        <w:t xml:space="preserve">Current data show the same pattern. NALP's 2025 Report on Diversity in U.S. Law Firms reports that LGBTQ+ lawyers were 4.90 percent of lawyers at reporting firms in 2025, down from 5.13 percent in 2024 and the first decline since NALP began tracking in 2004. LGBTQ+ associates reached a record 7.87 percent, but LGBTQ+ partners were 2.67 percent. Firms reported 87 non-binary lawyers in 2025, a figure NALP notes is affected by a smaller respondent pool.</w:t>
      </w:r>
    </w:p>
    <w:p>
      <w:pPr>
        <w:spacing w:after="160"/>
      </w:pPr>
      <w:r>
        <w:t xml:space="preserve">From confidential interviews with LGBTQ+ associates of color and transgender and non-binary attorneys in large firms, the guest identifies recurring obstacles:</w:t>
      </w:r>
    </w:p>
    <w:p>
      <w:pPr>
        <w:pStyle w:val="ListParagraph"/>
        <w:numPr>
          <w:ilvl w:val="0"/>
          <w:numId w:val="1"/>
        </w:numPr>
        <w:spacing w:after="80"/>
      </w:pPr>
      <w:r>
        <w:rPr>
          <w:b/>
          <w:bCs/>
        </w:rPr>
        <w:t xml:space="preserve">Mentoring and sponsorship.</w:t>
      </w:r>
      <w:r>
        <w:t xml:space="preserve">Advancement depends on practice group and office relationships and on partners who invest in an associate's career. Lawyers who are "the only" often lack those relationships.</w:t>
      </w:r>
    </w:p>
    <w:p>
      <w:pPr>
        <w:pStyle w:val="ListParagraph"/>
        <w:numPr>
          <w:ilvl w:val="0"/>
          <w:numId w:val="1"/>
        </w:numPr>
        <w:spacing w:after="80"/>
      </w:pPr>
      <w:r>
        <w:rPr>
          <w:b/>
          <w:bCs/>
        </w:rPr>
        <w:t xml:space="preserve">Class and networks.</w:t>
      </w:r>
      <w:r>
        <w:t xml:space="preserve">First-generation lawyers may lack the business connections that partnership often requires.</w:t>
      </w:r>
    </w:p>
    <w:p>
      <w:pPr>
        <w:pStyle w:val="ListParagraph"/>
        <w:numPr>
          <w:ilvl w:val="0"/>
          <w:numId w:val="1"/>
        </w:numPr>
        <w:spacing w:after="80"/>
      </w:pPr>
      <w:r>
        <w:rPr>
          <w:b/>
          <w:bCs/>
        </w:rPr>
        <w:t xml:space="preserve">Culture versus policy.</w:t>
      </w:r>
      <w:r>
        <w:t xml:space="preserve">A nondiscrimination policy or permission to list pronouns has little effect if no one uses or discusses it.</w:t>
      </w:r>
    </w:p>
    <w:p>
      <w:pPr>
        <w:pStyle w:val="Heading2"/>
        <w:spacing w:after="120" w:before="240"/>
      </w:pPr>
      <w:r>
        <w:rPr>
          <w:b/>
          <w:bCs/>
        </w:rPr>
        <w:t xml:space="preserve">Self-Identification and Accountability</w:t>
      </w:r>
    </w:p>
    <w:p>
      <w:pPr>
        <w:spacing w:after="160"/>
      </w:pPr>
      <w:r>
        <w:t xml:space="preserve">Employers collect demographic data to understand their workforce and report to clients. To the objection that questions about sexual orientation and gender identity are too personal, the guest answers that they concern identity, not sexual conduct, and that voluntary, confidential questions signal that LGBTQ+ people are welcome to be counted. The National LGBTQ+ Bar Association converted its Lavender Law recruiter checklist into a public online index, later called the Workplace Best Practices Index, that includes numbers of LGBTQ+ partners and associates, and it surveys law school climate. Responses should remain voluntary and confidential and should not be used in individual employment decisions.</w:t>
      </w:r>
    </w:p>
    <w:p>
      <w:pPr>
        <w:pStyle w:val="Heading2"/>
        <w:spacing w:after="120" w:before="240"/>
      </w:pPr>
      <w:r>
        <w:rPr>
          <w:b/>
          <w:bCs/>
        </w:rPr>
        <w:t xml:space="preserve">Restrooms and Facilities</w:t>
      </w:r>
    </w:p>
    <w:p>
      <w:pPr>
        <w:spacing w:after="160"/>
      </w:pPr>
      <w:r>
        <w:t xml:space="preserve">The guest calls restrooms "access to public life." His recommendations:</w:t>
      </w:r>
    </w:p>
    <w:p>
      <w:pPr>
        <w:pStyle w:val="ListParagraph"/>
        <w:numPr>
          <w:ilvl w:val="0"/>
          <w:numId w:val="1"/>
        </w:numPr>
        <w:spacing w:after="80"/>
      </w:pPr>
      <w:r>
        <w:t xml:space="preserve">Add single-occupancy, all-gender restrooms with clear, accessible signage; they offer privacy that many employees value.</w:t>
      </w:r>
    </w:p>
    <w:p>
      <w:pPr>
        <w:pStyle w:val="ListParagraph"/>
        <w:numPr>
          <w:ilvl w:val="0"/>
          <w:numId w:val="1"/>
        </w:numPr>
        <w:spacing w:after="80"/>
      </w:pPr>
      <w:r>
        <w:t xml:space="preserve">Where multi-stall, single-sex restrooms remain, train all personnel that employees use the restroom consistent with their gender identity and that no one should police others' gender.</w:t>
      </w:r>
    </w:p>
    <w:p>
      <w:pPr>
        <w:spacing w:after="160"/>
      </w:pPr>
      <w:r>
        <w:t xml:space="preserve">The law on restroom access is unsettled. The EEOC's 2024 harassment guidance treated denial of restroom access consistent with gender identity as potential harassment, but those provisions were vacated in 2025 and the guidance rescinded in 2026, and many states now restrict restroom use in public facilities. Single-occupancy facilities remain a practical, low-conflict option.</w:t>
      </w:r>
    </w:p>
    <w:p>
      <w:pPr>
        <w:pStyle w:val="Heading2"/>
        <w:spacing w:after="120" w:before="240"/>
      </w:pPr>
      <w:r>
        <w:rPr>
          <w:b/>
          <w:bCs/>
        </w:rPr>
        <w:t xml:space="preserve">Benefits Parity and Health Coverage</w:t>
      </w:r>
    </w:p>
    <w:p>
      <w:pPr>
        <w:spacing w:after="160"/>
      </w:pPr>
      <w:r>
        <w:t xml:space="preserve">The guest treats benefits parity as a recruiting and retention issue. Many plans exclude transition-related care in whole or in part, for example covering hormone therapy but not facial feminization surgery. The Human Rights Campaign's Corporate Equality Index requires transgender-inclusive coverage for a top score, and some employers buy supplemental coverage to close gaps; firms also review surrogacy and adoption benefits. The guest stresses that medical necessity is an individualized clinical determination. He co-founded the Jim Collins Foundation to fund surgeries for those without coverage.</w:t>
      </w:r>
    </w:p>
    <w:p>
      <w:pPr>
        <w:spacing w:after="160"/>
      </w:pPr>
      <w:r>
        <w:t xml:space="preserve">Early litigation arose in prisons under the Eighth Amendment. In</w:t>
      </w:r>
      <w:r>
        <w:rPr>
          <w:i/>
          <w:iCs/>
        </w:rPr>
        <w:t xml:space="preserve">Fields v. Smith</w:t>
      </w:r>
      <w:r>
        <w:t xml:space="preserve">, 653 F.3d 550 (7th Cir. 2011), the Seventh Circuit affirmed a judgment that Wisconsin's Inmate Sex Change Prevention Act, 2005 Wis. Act 105, which barred hormone therapy and surgery for inmates, violated the Eighth Amendment. Translating those principles to private insurance, a negotiated benefit rather than a constitutional right, is harder, and recent decisions have made benefits claims more difficult (see Developments to Know).</w:t>
      </w:r>
    </w:p>
    <w:p>
      <w:pPr>
        <w:pStyle w:val="Heading2"/>
        <w:spacing w:after="120" w:before="240"/>
      </w:pPr>
      <w:r>
        <w:rPr>
          <w:b/>
          <w:bCs/>
        </w:rPr>
        <w:t xml:space="preserve">Bias, Microaggressions, and the Legal Framework</w:t>
      </w:r>
    </w:p>
    <w:p>
      <w:pPr>
        <w:pStyle w:val="Heading3"/>
        <w:spacing w:after="120" w:before="240"/>
      </w:pPr>
      <w:r>
        <w:rPr>
          <w:b/>
          <w:bCs/>
        </w:rPr>
        <w:t xml:space="preserve">Explicit and Implicit Bias</w:t>
      </w:r>
    </w:p>
    <w:p>
      <w:pPr>
        <w:spacing w:after="160"/>
      </w:pPr>
      <w:r>
        <w:t xml:space="preserve">The guest describes microaggressions such as gender stereotyping ("You don't even try to fit in, do you?") and a non-binary attorney whose they/them nameplate drew three "Is this a joke?" visits in one day. Implicit bias affects everyone, but in his litigation bias against transgender people was often explicit.</w:t>
      </w:r>
    </w:p>
    <w:p>
      <w:pPr>
        <w:pStyle w:val="Heading3"/>
        <w:spacing w:after="120" w:before="240"/>
      </w:pPr>
      <w:r>
        <w:rPr>
          <w:b/>
          <w:bCs/>
        </w:rPr>
        <w:t xml:space="preserve">Federal Law</w:t>
      </w:r>
    </w:p>
    <w:p>
      <w:pPr>
        <w:pStyle w:val="ListParagraph"/>
        <w:numPr>
          <w:ilvl w:val="0"/>
          <w:numId w:val="1"/>
        </w:numPr>
        <w:spacing w:after="80"/>
      </w:pPr>
      <w:r>
        <w:rPr>
          <w:b/>
          <w:bCs/>
        </w:rPr>
        <w:t xml:space="preserve">Equal Protection.</w:t>
      </w:r>
      <w:r>
        <w:t xml:space="preserve">In</w:t>
      </w:r>
      <w:r>
        <w:rPr>
          <w:i/>
          <w:iCs/>
        </w:rPr>
        <w:t xml:space="preserve">Glenn v. Brumby</w:t>
      </w:r>
      <w:r>
        <w:t xml:space="preserve">, 663 F.3d 1312 (11th Cir. 2011), the Eleventh Circuit held that firing a legislative editor because she intended to transition was sex discrimination based on gender nonconformity, subject to heightened scrutiny.</w:t>
      </w:r>
    </w:p>
    <w:p>
      <w:pPr>
        <w:pStyle w:val="ListParagraph"/>
        <w:numPr>
          <w:ilvl w:val="0"/>
          <w:numId w:val="1"/>
        </w:numPr>
        <w:spacing w:after="80"/>
      </w:pPr>
      <w:r>
        <w:rPr>
          <w:b/>
          <w:bCs/>
        </w:rPr>
        <w:t xml:space="preserve">Title VII.</w:t>
      </w:r>
      <w:r>
        <w:t xml:space="preserve">Title VII makes it unlawful to discharge or otherwise discriminate against an individual "because of such individual's . . . sex." 42 U.S.C. § 2000e-2(a)(1). In</w:t>
      </w:r>
      <w:r>
        <w:rPr>
          <w:i/>
          <w:iCs/>
        </w:rPr>
        <w:t xml:space="preserve">Bostock v. Clayton County</w:t>
      </w:r>
      <w:r>
        <w:t xml:space="preserve">, 590 U.S. 644 (2020), which included Aimee Stephens's claim against the funeral home that fired her after she announced her transition, the Court held that "[a]n employer who fires an individual merely for being gay or transgender defies the law." The Court did not address bathrooms, locker rooms, or dress codes.</w:t>
      </w:r>
    </w:p>
    <w:p>
      <w:pPr>
        <w:pStyle w:val="ListParagraph"/>
        <w:numPr>
          <w:ilvl w:val="0"/>
          <w:numId w:val="1"/>
        </w:numPr>
        <w:spacing w:after="80"/>
      </w:pPr>
      <w:r>
        <w:rPr>
          <w:b/>
          <w:bCs/>
        </w:rPr>
        <w:t xml:space="preserve">Adverse actions.</w:t>
      </w:r>
      <w:r>
        <w:t xml:space="preserve">A transfer or other change in the terms and conditions of employment need only cause "some harm" to be actionable.</w:t>
      </w:r>
      <w:r>
        <w:rPr>
          <w:i/>
          <w:iCs/>
        </w:rPr>
        <w:t xml:space="preserve">Muldrow v. City of St. Louis</w:t>
      </w:r>
      <w:r>
        <w:t xml:space="preserve">, 601 U.S. 346 (2024).</w:t>
      </w:r>
    </w:p>
    <w:p>
      <w:pPr>
        <w:pStyle w:val="ListParagraph"/>
        <w:numPr>
          <w:ilvl w:val="0"/>
          <w:numId w:val="1"/>
        </w:numPr>
        <w:spacing w:after="80"/>
      </w:pPr>
      <w:r>
        <w:rPr>
          <w:b/>
          <w:bCs/>
        </w:rPr>
        <w:t xml:space="preserve">Religious accommodation.</w:t>
      </w:r>
      <w:r>
        <w:t xml:space="preserve">An employer must accommodate an employee's religious practice unless the burden of doing so would result in substantial increased costs in relation to the conduct of its particular business.</w:t>
      </w:r>
      <w:r>
        <w:rPr>
          <w:i/>
          <w:iCs/>
        </w:rPr>
        <w:t xml:space="preserve">Groff v. DeJoy</w:t>
      </w:r>
      <w:r>
        <w:t xml:space="preserve">, 600 U.S. 447 (2023). Applying</w:t>
      </w:r>
      <w:r>
        <w:rPr>
          <w:i/>
          <w:iCs/>
        </w:rPr>
        <w:t xml:space="preserve">Groff</w:t>
      </w:r>
      <w:r>
        <w:t xml:space="preserve">, the Seventh Circuit sent to trial the claim of a teacher whose school withdrew his last-names-only accommodation, sought because of religious objections to using transgender students' chosen names.</w:t>
      </w:r>
      <w:r>
        <w:rPr>
          <w:i/>
          <w:iCs/>
        </w:rPr>
        <w:t xml:space="preserve">Kluge v. Brownsburg Community School Corp.</w:t>
      </w:r>
      <w:r>
        <w:t xml:space="preserve">(7th Cir. Aug. 5, 2025).</w:t>
      </w:r>
    </w:p>
    <w:p>
      <w:pPr>
        <w:pStyle w:val="Heading3"/>
        <w:spacing w:after="120" w:before="240"/>
      </w:pPr>
      <w:r>
        <w:rPr>
          <w:b/>
          <w:bCs/>
        </w:rPr>
        <w:t xml:space="preserve">State Law and Professional Conduct Rules</w:t>
      </w:r>
    </w:p>
    <w:p>
      <w:pPr>
        <w:spacing w:after="160"/>
      </w:pPr>
      <w:r>
        <w:t xml:space="preserve">According to the Movement Advancement Project, 22 states and the District of Columbia expressly prohibit employment discrimination based on sexual orientation and gender identity, and nine more states interpret their sex discrimination laws to include them; state laws may reach employers with fewer than 15 employees. ABA Model Rule of Professional Conduct 8.4(g) makes it misconduct to engage in conduct the lawyer knows or reasonably should know is harassment or discrimination on the basis of, among other characteristics, sex, sexual orientation, or gender identity in conduct related to the practice of law; jurisdictions differ on adoption.</w:t>
      </w:r>
    </w:p>
    <w:p>
      <w:pPr>
        <w:pStyle w:val="Heading3"/>
        <w:spacing w:after="120" w:before="240"/>
      </w:pPr>
      <w:r>
        <w:rPr>
          <w:b/>
          <w:bCs/>
        </w:rPr>
        <w:t xml:space="preserve">Allyship</w:t>
      </w:r>
    </w:p>
    <w:p>
      <w:pPr>
        <w:spacing w:after="160"/>
      </w:pPr>
      <w:r>
        <w:t xml:space="preserve">The guest's central recommendation is to "channel that clinical professor": a lawyer need not understand every aspect of a colleague's identity to invest in that colleague's success. He urges employers not to let fear of the unfamiliar deter them from hiring or mentoring transgender lawyers, whose resilience and creativity he regards as strengths.</w:t>
      </w:r>
    </w:p>
    <w:p>
      <w:pPr>
        <w:pStyle w:val="Heading2"/>
        <w:spacing w:after="120" w:before="240"/>
      </w:pPr>
      <w:r>
        <w:rPr>
          <w:b/>
          <w:bCs/>
        </w:rPr>
        <w:t xml:space="preserve">Developments to Know</w:t>
      </w:r>
    </w:p>
    <w:p>
      <w:pPr>
        <w:pStyle w:val="ListParagraph"/>
        <w:numPr>
          <w:ilvl w:val="0"/>
          <w:numId w:val="1"/>
        </w:numPr>
        <w:spacing w:after="80"/>
      </w:pPr>
      <w:r>
        <w:rPr>
          <w:b/>
          <w:bCs/>
        </w:rPr>
        <w:t xml:space="preserve">EEOC enforcement.</w:t>
      </w:r>
      <w:r>
        <w:t xml:space="preserve">After Executive Order 14168, 90 Fed. Reg. 8615 (Jan. 30, 2025), the EEOC paused gender identity charges, then in July 2025 resumed processing those squarely within</w:t>
      </w:r>
      <w:r>
        <w:rPr>
          <w:i/>
          <w:iCs/>
        </w:rPr>
        <w:t xml:space="preserve">Bostock</w:t>
      </w:r>
      <w:r>
        <w:t xml:space="preserve">(hiring, discharge, and promotion), excluding harassment claims and requiring Chair approval.</w:t>
      </w:r>
      <w:r>
        <w:rPr>
          <w:i/>
          <w:iCs/>
        </w:rPr>
        <w:t xml:space="preserve">Texas v. EEOC</w:t>
      </w:r>
      <w:r>
        <w:t xml:space="preserve">, No. 2:24-CV-173-Z (N.D. Tex. May 15, 2025), vacated the sexual orientation and gender identity portions of the 2024 Enforcement Guidance on Harassment in the Workplace, reasoning that</w:t>
      </w:r>
      <w:r>
        <w:rPr>
          <w:i/>
          <w:iCs/>
        </w:rPr>
        <w:t xml:space="preserve">Bostock</w:t>
      </w:r>
      <w:r>
        <w:t xml:space="preserve">addressed discharge, not workplace accommodations. On January 22, 2026, the Commission voted 2&amp;ndash;1 to rescind the guidance entirely. The Chair views</w:t>
      </w:r>
      <w:r>
        <w:rPr>
          <w:i/>
          <w:iCs/>
        </w:rPr>
        <w:t xml:space="preserve">Bostock</w:t>
      </w:r>
      <w:r>
        <w:t xml:space="preserve">as limited to hiring and firing; the dissenting commissioner called the rescission overbroad. Title VII and</w:t>
      </w:r>
      <w:r>
        <w:rPr>
          <w:i/>
          <w:iCs/>
        </w:rPr>
        <w:t xml:space="preserve">Bostock</w:t>
      </w:r>
      <w:r>
        <w:t xml:space="preserve">are unchanged, and private suits remain available.</w:t>
      </w:r>
    </w:p>
    <w:p>
      <w:pPr>
        <w:pStyle w:val="ListParagraph"/>
        <w:numPr>
          <w:ilvl w:val="0"/>
          <w:numId w:val="1"/>
        </w:numPr>
        <w:spacing w:after="80"/>
      </w:pPr>
      <w:r>
        <w:rPr>
          <w:b/>
          <w:bCs/>
        </w:rPr>
        <w:t xml:space="preserve">Minors, sports, and facilities.</w:t>
      </w:r>
      <w:r>
        <w:rPr>
          <w:i/>
          <w:iCs/>
        </w:rPr>
        <w:t xml:space="preserve">United States v. Skrmetti</w:t>
      </w:r>
      <w:r>
        <w:t xml:space="preserve">, 605 U.S. ___ (June 18, 2025), upheld Tennessee's restrictions on puberty blockers and hormones for minors under rational basis review, treating the law as classifying by age and medical use, and did not decide whether transgender status is a suspect or quasi-suspect class. In</w:t>
      </w:r>
      <w:r>
        <w:rPr>
          <w:i/>
          <w:iCs/>
        </w:rPr>
        <w:t xml:space="preserve">West Virginia v. B.P.J.</w:t>
      </w:r>
      <w:r>
        <w:t xml:space="preserve">and</w:t>
      </w:r>
      <w:r>
        <w:rPr>
          <w:i/>
          <w:iCs/>
        </w:rPr>
        <w:t xml:space="preserve">Little v. Hecox</w:t>
      </w:r>
      <w:r>
        <w:t xml:space="preserve">(U.S. June 30, 2026), the Court held 6&amp;ndash;3 that neither Title IX nor the Equal Protection Clause bars states from limiting girls' and women's teams by biological sex. The Williams Institute (January 2026) counts 27 states banning gender-affirming care for minors, 29 restricting school sports, 25 restricting bathrooms or facilities, and 16 limiting pronoun use in schools, and 17 states plus D.C. with shield laws.</w:t>
      </w:r>
    </w:p>
    <w:p>
      <w:pPr>
        <w:pStyle w:val="ListParagraph"/>
        <w:numPr>
          <w:ilvl w:val="0"/>
          <w:numId w:val="1"/>
        </w:numPr>
        <w:spacing w:after="80"/>
      </w:pPr>
      <w:r>
        <w:rPr>
          <w:b/>
          <w:bCs/>
        </w:rPr>
        <w:t xml:space="preserve">The medical debate.</w:t>
      </w:r>
      <w:r>
        <w:t xml:space="preserve">HHS's "Treatment for Pediatric Gender Dysphoria: Review of Evidence and Best Practices" (May 2025; peer-reviewed version November 19, 2025) concluded that evidence of benefit for minors is weak and harms significant. The American Academy of Pediatrics, the American Medical Association, and the Endocrine Society disputed it and continue to support individualized care for adolescents. In February 2026 the American Society of Plastic Surgeons recommended deferring gender-related surgery until 19; the AMA said surgery for minors should generally be deferred without endorsing that statement.</w:t>
      </w:r>
    </w:p>
    <w:p>
      <w:pPr>
        <w:pStyle w:val="ListParagraph"/>
        <w:numPr>
          <w:ilvl w:val="0"/>
          <w:numId w:val="1"/>
        </w:numPr>
        <w:spacing w:after="80"/>
      </w:pPr>
      <w:r>
        <w:rPr>
          <w:b/>
          <w:bCs/>
        </w:rPr>
        <w:t xml:space="preserve">Federal executive actions.</w:t>
      </w:r>
      <w:r>
        <w:t xml:space="preserve">Executive Order 14168 directs federal recognition of two sexes and sex-based federal documents; federal employees were told to remove pronouns from email signatures. The Supreme Court stayed injunctions against the passport policy,</w:t>
      </w:r>
      <w:r>
        <w:rPr>
          <w:i/>
          <w:iCs/>
        </w:rPr>
        <w:t xml:space="preserve">Trump v. Orr</w:t>
      </w:r>
      <w:r>
        <w:t xml:space="preserve">(Nov. 6, 2025), and the military service policy,</w:t>
      </w:r>
      <w:r>
        <w:rPr>
          <w:i/>
          <w:iCs/>
        </w:rPr>
        <w:t xml:space="preserve">United States v. Shilling</w:t>
      </w:r>
      <w:r>
        <w:t xml:space="preserve">(May 6, 2025), pending litigation. In</w:t>
      </w:r>
      <w:r>
        <w:rPr>
          <w:i/>
          <w:iCs/>
        </w:rPr>
        <w:t xml:space="preserve">Kingdom v. Trump</w:t>
      </w:r>
      <w:r>
        <w:t xml:space="preserve">(D.D.C.), a class of federal prisoners obtained a preliminary injunction on June 17, 2026, against a Bureau of Prisons policy limiting gender dysphoria treatment to psychotherapy and psychotropic medication.</w:t>
      </w:r>
    </w:p>
    <w:p>
      <w:pPr>
        <w:pStyle w:val="ListParagraph"/>
        <w:numPr>
          <w:ilvl w:val="0"/>
          <w:numId w:val="1"/>
        </w:numPr>
        <w:spacing w:after="80"/>
      </w:pPr>
      <w:r>
        <w:rPr>
          <w:b/>
          <w:bCs/>
        </w:rPr>
        <w:t xml:space="preserve">Benefits coverage.</w:t>
      </w:r>
      <w:r>
        <w:rPr>
          <w:i/>
          <w:iCs/>
        </w:rPr>
        <w:t xml:space="preserve">Lange v. Houston County</w:t>
      </w:r>
      <w:r>
        <w:t xml:space="preserve">, No. 22-13626 (11th Cir. Sept. 9, 2025) (en banc), held that a county plan's exclusion of gender-affirming surgery did not violate Title VII because it turned on the condition treated, not sex or transgender status. The Supreme Court vacated</w:t>
      </w:r>
      <w:r>
        <w:rPr>
          <w:i/>
          <w:iCs/>
        </w:rPr>
        <w:t xml:space="preserve">Kadel v. Folwell</w:t>
      </w:r>
      <w:r>
        <w:t xml:space="preserve">, 100 F.4th 122 (4th Cir. 2024) (en banc), in light of</w:t>
      </w:r>
      <w:r>
        <w:rPr>
          <w:i/>
          <w:iCs/>
        </w:rPr>
        <w:t xml:space="preserve">Skrmetti</w:t>
      </w:r>
      <w:r>
        <w:t xml:space="preserve">(June 30, 2025); it is back in the district court.</w:t>
      </w:r>
      <w:r>
        <w:rPr>
          <w:i/>
          <w:iCs/>
        </w:rPr>
        <w:t xml:space="preserve">Tennessee v. Kennedy</w:t>
      </w:r>
      <w:r>
        <w:t xml:space="preserve">(S.D. Miss. Oct. 22, 2025) vacated the gender identity provisions of HHS's 2024 Section 1557 rule. HRC's 2026 Corporate Equality Index reported a 65 percent drop in Fortune 500 participation; 72 percent of Fortune 500 companies offer transgender-inclusive benefits.</w:t>
      </w:r>
    </w:p>
    <w:p>
      <w:pPr>
        <w:pStyle w:val="ListParagraph"/>
        <w:numPr>
          <w:ilvl w:val="0"/>
          <w:numId w:val="1"/>
        </w:numPr>
        <w:spacing w:after="80"/>
      </w:pPr>
      <w:r>
        <w:rPr>
          <w:b/>
          <w:bCs/>
        </w:rPr>
        <w:t xml:space="preserve">Law firm DEI.</w:t>
      </w:r>
      <w:r>
        <w:t xml:space="preserve">Executive Orders 14151, 90 Fed. Reg. 8339 (Jan. 29, 2025), and 14173, 90 Fed. Reg. 8633 (Jan. 31, 2025), ended federal DEI programs and directed action against "illegal" private-sector DEI. On March 17, 2025, the EEOC Acting Chair sent letters to 20 law firms about their DEI-related employment practices; four later settled with the EEOC. Nine firms reached agreements with the White House totaling about $940 million in pro bono commitments. District courts permanently enjoined executive orders against Perkins Coie, Jenner &amp; Block, WilmerHale, and Susman Godfrey in 2025; the consolidated appeals were argued in the D.C. Circuit on May 14, 2026, and remain pending.</w:t>
      </w:r>
    </w:p>
    <w:p>
      <w:pPr>
        <w:pStyle w:val="ListParagraph"/>
        <w:numPr>
          <w:ilvl w:val="0"/>
          <w:numId w:val="1"/>
        </w:numPr>
        <w:spacing w:after="80"/>
      </w:pPr>
      <w:r>
        <w:rPr>
          <w:b/>
          <w:bCs/>
        </w:rPr>
        <w:t xml:space="preserve">Program design.</w:t>
      </w:r>
      <w:r>
        <w:rPr>
          <w:i/>
          <w:iCs/>
        </w:rPr>
        <w:t xml:space="preserve">Students for Fair Admissions, Inc. v. President &amp; Fellows of Harvard College</w:t>
      </w:r>
      <w:r>
        <w:t xml:space="preserve">, 600 U.S. 181 (2023), held race-conscious admissions unlawful, and</w:t>
      </w:r>
      <w:r>
        <w:rPr>
          <w:i/>
          <w:iCs/>
        </w:rPr>
        <w:t xml:space="preserve">Ames v. Ohio Department of Youth Services</w:t>
      </w:r>
      <w:r>
        <w:t xml:space="preserve">, 605 U.S. ___ (2025), held unanimously that majority-group Title VII plaintiffs face no heightened "background circumstances" requirement. Programs that limit eligibility for jobs, promotions, mentoring, or other employment terms by protected trait carry the most risk. Practices open to all and not tied to employment decisions by protected trait, such as correct pronouns, respectful-conduct training, voluntary self-identification, accessible facilities, and open mentoring, remain lower risk.</w:t>
      </w:r>
    </w:p>
    <w:p>
      <w:pPr>
        <w:pStyle w:val="ListParagraph"/>
        <w:numPr>
          <w:ilvl w:val="0"/>
          <w:numId w:val="1"/>
        </w:numPr>
        <w:spacing w:after="80"/>
      </w:pPr>
      <w:r>
        <w:rPr>
          <w:b/>
          <w:bCs/>
        </w:rPr>
        <w:t xml:space="preserve">ABA Standard 206.</w:t>
      </w:r>
      <w:r>
        <w:t xml:space="preserve">The ABA's law school accreditation council suspended the diversity standard in February 2025 and voted to repeal it in May 2026. After the House of Delegates declined to concur on August 4, 2026, the council made the repeal final, effective immediately, by a 10&amp;ndash;6 vote on September 8, 2026, citing the need to keep recognition by the Department of Education and state courts. Nearly all public comments opposed repeal.</w:t>
      </w:r>
    </w:p>
    <w:p>
      <w:pPr>
        <w:pStyle w:val="ListParagraph"/>
        <w:numPr>
          <w:ilvl w:val="0"/>
          <w:numId w:val="1"/>
        </w:numPr>
        <w:spacing w:after="80"/>
      </w:pPr>
      <w:r>
        <w:rPr>
          <w:b/>
          <w:bCs/>
        </w:rPr>
        <w:t xml:space="preserve">Data.</w:t>
      </w:r>
      <w:r>
        <w:t xml:space="preserve">The 2022 U.S. Transgender Survey (92,329 respondents; nonprobability sample) reports 18 percent unemployment among respondents, and 11 percent of those who had ever held a job reported losing one because of their gender identity or expression. The Williams Institute (2025) estimates 2.8 million transgender people aged 13 and older: 2.1 million adults (0.8 percent) and 724,000 youth aged 13 to 17 (3.3 percent).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2026-10-06T18:38:30.954Z</dcterms:created>
  <dcterms:modified xsi:type="dcterms:W3CDTF">2026-10-06T18:38:30.954Z</dcterms:modified>
</cp:coreProperties>
</file>

<file path=docProps/custom.xml><?xml version="1.0" encoding="utf-8"?>
<Properties xmlns="http://schemas.openxmlformats.org/officeDocument/2006/custom-properties" xmlns:vt="http://schemas.openxmlformats.org/officeDocument/2006/docPropsVTypes"/>
</file>