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Policing the Police</w:t>
      </w:r>
    </w:p>
    <w:p>
      <w:pPr>
        <w:spacing w:after="200"/>
      </w:pPr>
      <w:r>
        <w:rPr>
          <w:rFonts w:ascii="Montserrat" w:cs="Montserrat" w:eastAsia="Montserrat" w:hAnsi="Montserrat"/>
          <w:b/>
          <w:bCs/>
          <w:color w:val="E87722"/>
          <w:sz w:val="24"/>
          <w:szCs w:val="24"/>
        </w:rPr>
        <w:t>Rachel Harmon</w:t>
      </w:r>
    </w:p>
    <w:p>
      <w:pPr>
        <w:pStyle w:val="Heading2"/>
        <w:spacing w:after="120" w:before="240"/>
      </w:pPr>
      <w:r>
        <w:rPr>
          <w:b/>
          <w:bCs/>
        </w:rPr>
        <w:t>Overview</w:t>
      </w:r>
    </w:p>
    <w:p>
      <w:pPr>
        <w:spacing w:after="160"/>
      </w:pPr>
      <w:r>
        <w:t>This program examines the law that authorizes and constrains American police. Professor Rachel Harmon of the University of Virginia School of Law, author of The Law of the Police, explains that policing exists only because law authorizes conduct that would otherwise be criminal, and that the police are governed not only by the Fourth Amendment and constitutional remedies but also by state law and local political control. The discussion covers the Fourth Amendment reasonableness standard for non-deadly and deadly force, including de minimis force and the fleeing-felon rule of Tennessee v. Garner; federal criminal prosecution of officers under 18 U.S.C. § 242 and its willfulness requirement; probable cause and the social costs of lawful arrests; First Amendment protection for verbal opposition to police, "contempt of cop" arrests, fighting words, and retaliatory-arrest claims under Nieves v. Bartlett; the policing of protests and dispersal orders; the right to record police in public; and access to body-camera footage under state law and Brady v. Maryland. Professor Harmon argues that problems in policing are usually systemic rather than the product of individual bad actors, and that front-end rules and community governance matter more than after-the-fact litigation. Updates cover Barnes v. Felix (2025), Gonzalez v. Trevino (2024), changes in federal policing policy and consent decrees, recording buffer-zone litigation, and recent data on police killings.</w:t>
      </w:r>
    </w:p>
    <w:p>
      <w:pPr>
        <w:pStyle w:val="Heading2"/>
        <w:spacing w:after="120" w:before="240"/>
      </w:pPr>
      <w:r>
        <w:rPr>
          <w:b/>
          <w:bCs/>
        </w:rPr>
        <w:t>Learning Objectives</w:t>
      </w:r>
    </w:p>
    <w:p>
      <w:pPr>
        <w:pStyle w:val="ListParagraph"/>
        <w:numPr>
          <w:ilvl w:val="0"/>
          <w:numId w:val="1"/>
        </w:numPr>
        <w:spacing w:after="80"/>
      </w:pPr>
      <w:r>
        <w:t>Explain how the Fourth Amendment reasonableness standard of Graham v. Connor governs police use of non-deadly force, why many courts treat minor force as de minimis, and how Barnes v. Felix (2025) requires consideration of the totality of the circumstances.</w:t>
      </w:r>
    </w:p>
    <w:p>
      <w:pPr>
        <w:pStyle w:val="ListParagraph"/>
        <w:numPr>
          <w:ilvl w:val="0"/>
          <w:numId w:val="1"/>
        </w:numPr>
        <w:spacing w:after="80"/>
      </w:pPr>
      <w:r>
        <w:t>Describe the constitutional limits on deadly force under Tennessee v. Garner, including the distinction between dangerous and non-dangerous fleeing suspects.</w:t>
      </w:r>
    </w:p>
    <w:p>
      <w:pPr>
        <w:pStyle w:val="ListParagraph"/>
        <w:numPr>
          <w:ilvl w:val="0"/>
          <w:numId w:val="1"/>
        </w:numPr>
        <w:spacing w:after="80"/>
      </w:pPr>
      <w:r>
        <w:t>Identify the elements of a federal criminal civil rights prosecution under 18 U.S.C. § 242, including the willfulness requirement of Screws v. United States, and contrast criminal prosecution with civil remedies under 42 U.S.C. § 1983 and systemic approaches to police reform.</w:t>
      </w:r>
    </w:p>
    <w:p>
      <w:pPr>
        <w:pStyle w:val="ListParagraph"/>
        <w:numPr>
          <w:ilvl w:val="0"/>
          <w:numId w:val="1"/>
        </w:numPr>
        <w:spacing w:after="80"/>
      </w:pPr>
      <w:r>
        <w:t>Analyze the First Amendment protection for verbal opposition to police, the line between criticism and interference, and the probable-cause rule and its exception for retaliatory-arrest claims under Nieves v. Bartlett and Gonzalez v. Trevino.</w:t>
      </w:r>
    </w:p>
    <w:p>
      <w:pPr>
        <w:pStyle w:val="ListParagraph"/>
        <w:numPr>
          <w:ilvl w:val="0"/>
          <w:numId w:val="1"/>
        </w:numPr>
        <w:spacing w:after="80"/>
      </w:pPr>
      <w:r>
        <w:t>Evaluate how time, place, and manner doctrine and state dispersal and unlawful-assembly laws shape the policing of protests and the right to record police in public.</w:t>
      </w:r>
    </w:p>
    <w:p>
      <w:pPr>
        <w:pStyle w:val="ListParagraph"/>
        <w:numPr>
          <w:ilvl w:val="0"/>
          <w:numId w:val="1"/>
        </w:numPr>
        <w:spacing w:after="80"/>
      </w:pPr>
      <w:r>
        <w:t>Describe how state public-records law and Brady v. Maryland govern access to police body-camera footage.</w:t>
      </w:r>
    </w:p>
    <w:p>
      <w:pPr>
        <w:pStyle w:val="Heading2"/>
        <w:spacing w:after="120" w:before="240"/>
      </w:pPr>
      <w:r>
        <w:rPr>
          <w:b/>
          <w:bCs/>
        </w:rPr>
        <w:t>Sources of Police Authority and Regulation</w:t>
      </w:r>
    </w:p>
    <w:p>
      <w:pPr>
        <w:pStyle w:val="ListParagraph"/>
        <w:numPr>
          <w:ilvl w:val="0"/>
          <w:numId w:val="1"/>
        </w:numPr>
        <w:spacing w:after="80"/>
      </w:pPr>
      <w:r>
        <w:t>Professor Harmon emphasizes that police authority is created by law: without legal authorization, an arrest would be kidnapping and a use of force would be assault. Governing the police therefore means deciding what authority to grant and how effectively to regulate its exercise. See Rachel Harmon, The Law of the Police (Aspen 2021; 2d ed. 2024).</w:t>
      </w:r>
    </w:p>
    <w:p>
      <w:pPr>
        <w:pStyle w:val="ListParagraph"/>
        <w:numPr>
          <w:ilvl w:val="0"/>
          <w:numId w:val="1"/>
        </w:numPr>
        <w:spacing w:after="80"/>
      </w:pPr>
      <w:r>
        <w:t>Constitutional regulation comes chiefly from the Fourth Amendment (searches, seizures, arrests, and use of force) and from the Fifth Amendment as interpreted in Miranda v. Arizona, 384 U.S. 436 (1966) (custodial interrogation). These rules are enforced through the exclusionary rule, criminal prosecution, civil damages actions, and suits against departments.</w:t>
      </w:r>
    </w:p>
    <w:p>
      <w:pPr>
        <w:pStyle w:val="ListParagraph"/>
        <w:numPr>
          <w:ilvl w:val="0"/>
          <w:numId w:val="1"/>
        </w:numPr>
        <w:spacing w:after="80"/>
      </w:pPr>
      <w:r>
        <w:t>42 U.S.C. § 1983 provides a damages remedy against persons who, under color of state law, deprive others of federal constitutional or statutory rights. Municipalities may be liable for their own policies or customs. Monell v. Department of Social Services, 436 U.S. 658 (1978).</w:t>
      </w:r>
    </w:p>
    <w:p>
      <w:pPr>
        <w:pStyle w:val="ListParagraph"/>
        <w:numPr>
          <w:ilvl w:val="0"/>
          <w:numId w:val="1"/>
        </w:numPr>
        <w:spacing w:after="80"/>
      </w:pPr>
      <w:r>
        <w:t>Harmon stresses that state law (which authorizes arrests and force and supplies state remedies) and local government (which funds departments, hires and fires chiefs, and sets priorities) are often where the rules governing police take practical effect.</w:t>
      </w:r>
    </w:p>
    <w:p>
      <w:pPr>
        <w:pStyle w:val="Heading2"/>
        <w:spacing w:after="120" w:before="240"/>
      </w:pPr>
      <w:r>
        <w:rPr>
          <w:b/>
          <w:bCs/>
        </w:rPr>
        <w:t>Use of Non-Deadly Force</w:t>
      </w:r>
    </w:p>
    <w:p>
      <w:pPr>
        <w:pStyle w:val="ListParagraph"/>
        <w:numPr>
          <w:ilvl w:val="0"/>
          <w:numId w:val="1"/>
        </w:numPr>
        <w:spacing w:after="80"/>
      </w:pPr>
      <w:r>
        <w:t>Graham v. Connor, 490 U.S. 386 (1989). Claims that officers used excessive force in an arrest, stop, or other seizure are analyzed under the Fourth Amendment's objective reasonableness standard. Courts balance the nature of the intrusion against the governmental interests at stake, considering the severity of the crime, whether the suspect poses an immediate threat to officers or others, and whether he is actively resisting or attempting to evade arrest by flight. Reasonableness is judged from the perspective of a reasonable officer on the scene, "rather than with the 20/20 vision of hindsight," allowing for split-second judgments in tense, uncertain, and rapidly evolving circumstances.</w:t>
      </w:r>
    </w:p>
    <w:p>
      <w:pPr>
        <w:pStyle w:val="ListParagraph"/>
        <w:numPr>
          <w:ilvl w:val="0"/>
          <w:numId w:val="1"/>
        </w:numPr>
        <w:spacing w:after="80"/>
      </w:pPr>
      <w:r>
        <w:t>De minimis force. Harmon notes that many federal circuits treat minor uses of force, such as pushing an arrestee against a wall or car, as de minimis and not a constitutional violation even if unnecessary, because the Fourth Amendment does not require officers to use the minimum force necessary. Courts scrutinize weapons more closely, for example Taser use against passive resistance.</w:t>
      </w:r>
    </w:p>
    <w:p>
      <w:pPr>
        <w:pStyle w:val="ListParagraph"/>
        <w:numPr>
          <w:ilvl w:val="0"/>
          <w:numId w:val="1"/>
        </w:numPr>
        <w:spacing w:after="80"/>
      </w:pPr>
      <w:r>
        <w:t>Harmon's central point: non-deadly force is far more common than deadly force, injures many more people, and is far less thoroughly regulated by constitutional law. That the Constitution permits a use of force does not require states or communities to authorize it.</w:t>
      </w:r>
    </w:p>
    <w:p>
      <w:pPr>
        <w:pStyle w:val="Heading2"/>
        <w:spacing w:after="120" w:before="240"/>
      </w:pPr>
      <w:r>
        <w:rPr>
          <w:b/>
          <w:bCs/>
        </w:rPr>
        <w:t>Use of Deadly Force</w:t>
      </w:r>
    </w:p>
    <w:p>
      <w:pPr>
        <w:pStyle w:val="ListParagraph"/>
        <w:numPr>
          <w:ilvl w:val="0"/>
          <w:numId w:val="1"/>
        </w:numPr>
        <w:spacing w:after="80"/>
      </w:pPr>
      <w:r>
        <w:t>Tennessee v. Garner, 471 U.S. 1 (1985). Deadly force may not be used to prevent the escape of a fleeing suspect unless it is necessary to prevent escape and the officer has probable cause to believe the suspect poses a significant threat of death or serious physical injury to the officer or others. The Court indicated that such a threat exists if the suspect threatens the officer with a weapon or there is probable cause to believe he has committed a crime involving the infliction or threatened infliction of serious physical harm, and that some warning should be given where feasible.</w:t>
      </w:r>
    </w:p>
    <w:p>
      <w:pPr>
        <w:pStyle w:val="ListParagraph"/>
        <w:numPr>
          <w:ilvl w:val="0"/>
          <w:numId w:val="1"/>
        </w:numPr>
        <w:spacing w:after="80"/>
      </w:pPr>
      <w:r>
        <w:t>Scott v. Harris, 550 U.S. 372 (2007). Garner did not establish a rigid test; all uses of force are judged under Fourth Amendment reasonableness. An officer's attempt to end a high-speed chase that threatened the lives of bystanders by ramming the fleeing car was reasonable.</w:t>
      </w:r>
    </w:p>
    <w:p>
      <w:pPr>
        <w:pStyle w:val="ListParagraph"/>
        <w:numPr>
          <w:ilvl w:val="0"/>
          <w:numId w:val="1"/>
        </w:numPr>
        <w:spacing w:after="80"/>
      </w:pPr>
      <w:r>
        <w:t>Barnes v. Felix, 605 U.S. 73 (2025). The Court unanimously rejected the "moment-of-threat" doctrine, under which some circuits looked only to the moment an officer perceived danger. The reasonableness of deadly force must be assessed under the totality of the circumstances, which can include events leading up to the shooting. The Court did not decide whether or how an officer's own creation of the danger affects the analysis.</w:t>
      </w:r>
    </w:p>
    <w:p>
      <w:pPr>
        <w:pStyle w:val="ListParagraph"/>
        <w:numPr>
          <w:ilvl w:val="0"/>
          <w:numId w:val="1"/>
        </w:numPr>
        <w:spacing w:after="80"/>
      </w:pPr>
      <w:r>
        <w:t>Harmon observes that many states and departments permit less force than the constitutional ceiling, and that community opinion is often a more frequent check on police than federal litigation.</w:t>
      </w:r>
    </w:p>
    <w:p>
      <w:pPr>
        <w:pStyle w:val="Heading2"/>
        <w:spacing w:after="120" w:before="240"/>
      </w:pPr>
      <w:r>
        <w:rPr>
          <w:b/>
          <w:bCs/>
        </w:rPr>
        <w:t>Criminal Prosecution of Police Officers</w:t>
      </w:r>
    </w:p>
    <w:p>
      <w:pPr>
        <w:pStyle w:val="ListParagraph"/>
        <w:numPr>
          <w:ilvl w:val="0"/>
          <w:numId w:val="1"/>
        </w:numPr>
        <w:spacing w:after="80"/>
      </w:pPr>
      <w:r>
        <w:t>18 U.S.C. § 242 makes it a federal crime for anyone acting under color of law to willfully deprive a person of rights protected by the Constitution or federal law. Penalties increase if bodily injury results or a dangerous weapon, explosives, or fire is used, and if death results (or the offense includes kidnapping, aggravated sexual abuse, or an attempt to kill) the offense is punishable by imprisonment for any term of years or life, or by death.</w:t>
      </w:r>
    </w:p>
    <w:p>
      <w:pPr>
        <w:pStyle w:val="ListParagraph"/>
        <w:numPr>
          <w:ilvl w:val="0"/>
          <w:numId w:val="1"/>
        </w:numPr>
        <w:spacing w:after="80"/>
      </w:pPr>
      <w:r>
        <w:t>Screws v. United States, 325 U.S. 91 (1945). To avoid vagueness problems, the statute requires a specific intent to deprive a person of a federal right made definite by law; this willfulness requirement makes federal prosecutions of officers difficult. Harmon gives the example that kicking a handcuffed suspect already under control would be prosecutable excessive force.</w:t>
      </w:r>
    </w:p>
    <w:p>
      <w:pPr>
        <w:pStyle w:val="ListParagraph"/>
        <w:numPr>
          <w:ilvl w:val="0"/>
          <w:numId w:val="1"/>
        </w:numPr>
        <w:spacing w:after="80"/>
      </w:pPr>
      <w:r>
        <w:t>Harmon, a former prosecutor in the Criminal Section of the Justice Department's Civil Rights Division, argues that prosecution can express respect for victims as equal citizens but is not the best tool for most problems in policing, which arise from institutions and systems (what conduct is authorized, how departments are structured, and what they are tasked with) rather than from individual bad actors.</w:t>
      </w:r>
    </w:p>
    <w:p>
      <w:pPr>
        <w:pStyle w:val="ListParagraph"/>
        <w:numPr>
          <w:ilvl w:val="0"/>
          <w:numId w:val="1"/>
        </w:numPr>
        <w:spacing w:after="80"/>
      </w:pPr>
      <w:r>
        <w:t>34 U.S.C. § 12601 (formerly 42 U.S.C. § 14141) makes it unlawful for law enforcement officers or agencies to engage in a pattern or practice of conduct that deprives persons of constitutional or federal rights, and authorizes the Attorney General to sue for equitable and declaratory relief. This is the basis for Justice Department consent decrees with police departments.</w:t>
      </w:r>
    </w:p>
    <w:p>
      <w:pPr>
        <w:pStyle w:val="Heading2"/>
        <w:spacing w:after="120" w:before="240"/>
      </w:pPr>
      <w:r>
        <w:rPr>
          <w:b/>
          <w:bCs/>
        </w:rPr>
        <w:t>Arrests and Probable Cause</w:t>
      </w:r>
    </w:p>
    <w:p>
      <w:pPr>
        <w:pStyle w:val="ListParagraph"/>
        <w:numPr>
          <w:ilvl w:val="0"/>
          <w:numId w:val="1"/>
        </w:numPr>
        <w:spacing w:after="80"/>
      </w:pPr>
      <w:r>
        <w:t>A warrantless arrest in public is permitted under the Fourth Amendment when the officer has probable cause to believe the person committed a felony. United States v. Watson, 423 U.S. 411 (1976).</w:t>
      </w:r>
    </w:p>
    <w:p>
      <w:pPr>
        <w:pStyle w:val="ListParagraph"/>
        <w:numPr>
          <w:ilvl w:val="0"/>
          <w:numId w:val="1"/>
        </w:numPr>
        <w:spacing w:after="80"/>
      </w:pPr>
      <w:r>
        <w:t>Atwater v. City of Lago Vista, 532 U.S. 318 (2001). The Fourth Amendment does not forbid a warrantless custodial arrest for a minor criminal offense punishable only by a fine, such as a seatbelt violation.</w:t>
      </w:r>
    </w:p>
    <w:p>
      <w:pPr>
        <w:pStyle w:val="ListParagraph"/>
        <w:numPr>
          <w:ilvl w:val="0"/>
          <w:numId w:val="1"/>
        </w:numPr>
        <w:spacing w:after="80"/>
      </w:pPr>
      <w:r>
        <w:t>Harmon argues that even lawful arrests carry heavy costs, including lost jobs, trauma, disruption of child care, and immigration and housing consequences, and that in over-policed communities even justified arrests deepen alienation. She urges lawmakers and communities to restrict police activities whose harms and unfairness outweigh their value.</w:t>
      </w:r>
    </w:p>
    <w:p>
      <w:pPr>
        <w:pStyle w:val="Heading2"/>
        <w:spacing w:after="120" w:before="240"/>
      </w:pPr>
      <w:r>
        <w:rPr>
          <w:b/>
          <w:bCs/>
        </w:rPr>
        <w:t>Verbal Opposition, Fighting Words, and "Contempt of Cop"</w:t>
      </w:r>
    </w:p>
    <w:p>
      <w:pPr>
        <w:pStyle w:val="ListParagraph"/>
        <w:numPr>
          <w:ilvl w:val="0"/>
          <w:numId w:val="1"/>
        </w:numPr>
        <w:spacing w:after="80"/>
      </w:pPr>
      <w:r>
        <w:t>City of Houston v. Hill, 482 U.S. 451 (1987). An ordinance making it unlawful to interrupt a police officer in the performance of duties was substantially overbroad. The First Amendment protects a significant amount of verbal criticism and challenge directed at police; "the freedom of individuals verbally to oppose or challenge police action without thereby risking arrest is one of the principal characteristics by which we distinguish a free nation from a police state." The Court recognized that states may punish physical interference with officers.</w:t>
      </w:r>
    </w:p>
    <w:p>
      <w:pPr>
        <w:pStyle w:val="ListParagraph"/>
        <w:numPr>
          <w:ilvl w:val="0"/>
          <w:numId w:val="1"/>
        </w:numPr>
        <w:spacing w:after="80"/>
      </w:pPr>
      <w:r>
        <w:t>Chaplinsky v. New Hampshire, 315 U.S. 568 (1942), recognized "fighting words" as a category of unprotected speech. In Lewis v. City of New Orleans, 415 U.S. 130 (1974), the Court struck down an ordinance punishing opprobrious language toward police; Justice Powell's concurrence suggested that a properly trained officer may be expected to exercise a higher degree of restraint than the average citizen. Harmon notes it remains unresolved whether any words can constitute fighting words when directed at police.</w:t>
      </w:r>
    </w:p>
    <w:p>
      <w:pPr>
        <w:pStyle w:val="ListParagraph"/>
        <w:numPr>
          <w:ilvl w:val="0"/>
          <w:numId w:val="1"/>
        </w:numPr>
        <w:spacing w:after="80"/>
      </w:pPr>
      <w:r>
        <w:t>"Contempt of cop" is an informal term for arrests or uses of force in retaliation for disrespect or criticism. Retaliation for protected speech violates the First Amendment, and Harmon argues that arrests for purely verbal opposition should be unacceptable as a matter of policy even where the law is unsettled.</w:t>
      </w:r>
    </w:p>
    <w:p>
      <w:pPr>
        <w:pStyle w:val="ListParagraph"/>
        <w:numPr>
          <w:ilvl w:val="0"/>
          <w:numId w:val="1"/>
        </w:numPr>
        <w:spacing w:after="80"/>
      </w:pPr>
      <w:r>
        <w:t>Harmon notes that the line between protected criticism and unprotected interference (for example, shouting in an officer's ear during questioning, or standing close to or between an officer and a suspect) remains unclear in the case law.</w:t>
      </w:r>
    </w:p>
    <w:p>
      <w:pPr>
        <w:pStyle w:val="Heading2"/>
        <w:spacing w:after="120" w:before="240"/>
      </w:pPr>
      <w:r>
        <w:rPr>
          <w:b/>
          <w:bCs/>
        </w:rPr>
        <w:t>Retaliatory Arrest Claims</w:t>
      </w:r>
    </w:p>
    <w:p>
      <w:pPr>
        <w:pStyle w:val="ListParagraph"/>
        <w:numPr>
          <w:ilvl w:val="0"/>
          <w:numId w:val="1"/>
        </w:numPr>
        <w:spacing w:after="80"/>
      </w:pPr>
      <w:r>
        <w:t>Nieves v. Bartlett, 587 U.S. 391 (2019). As a general rule, a plaintiff bringing a First Amendment retaliatory-arrest claim must plead and prove the absence of probable cause. A narrow exception applies when the plaintiff presents objective evidence that he was arrested when otherwise similarly situated individuals not engaged in the same protected speech had not been, with jaywalking given as an example.</w:t>
      </w:r>
    </w:p>
    <w:p>
      <w:pPr>
        <w:pStyle w:val="ListParagraph"/>
        <w:numPr>
          <w:ilvl w:val="0"/>
          <w:numId w:val="1"/>
        </w:numPr>
        <w:spacing w:after="80"/>
      </w:pPr>
      <w:r>
        <w:t>Gonzalez v. Trevino, 602 U.S. 653 (2024) (per curiam). The Nieves exception does not require a plaintiff to identify specific comparators who were not arrested; other objective evidence, such as evidence that no one had previously been charged under the statute for comparable conduct, may suffice.</w:t>
      </w:r>
    </w:p>
    <w:p>
      <w:pPr>
        <w:pStyle w:val="ListParagraph"/>
        <w:numPr>
          <w:ilvl w:val="0"/>
          <w:numId w:val="1"/>
        </w:numPr>
        <w:spacing w:after="80"/>
      </w:pPr>
      <w:r>
        <w:t>Harmon observes that because officers can almost always identify probable cause for some offense, the Nieves rule is a substantial barrier to holding officers accountable in damages actions, and that research shows officers make more arrests and use more force against people they perceive as disrespectful.</w:t>
      </w:r>
    </w:p>
    <w:p>
      <w:pPr>
        <w:pStyle w:val="Heading2"/>
        <w:spacing w:after="120" w:before="240"/>
      </w:pPr>
      <w:r>
        <w:rPr>
          <w:b/>
          <w:bCs/>
        </w:rPr>
        <w:t>Policing Protests and Dispersal Orders</w:t>
      </w:r>
    </w:p>
    <w:p>
      <w:pPr>
        <w:pStyle w:val="ListParagraph"/>
        <w:numPr>
          <w:ilvl w:val="0"/>
          <w:numId w:val="1"/>
        </w:numPr>
        <w:spacing w:after="80"/>
      </w:pPr>
      <w:r>
        <w:t>Ward v. Rock Against Racism, 491 U.S. 781 (1989). Government may impose reasonable restrictions on the time, place, or manner of protected speech that are content neutral, narrowly tailored to serve a significant governmental interest, and leave open ample alternative channels of communication.</w:t>
      </w:r>
    </w:p>
    <w:p>
      <w:pPr>
        <w:pStyle w:val="ListParagraph"/>
        <w:numPr>
          <w:ilvl w:val="0"/>
          <w:numId w:val="1"/>
        </w:numPr>
        <w:spacing w:after="80"/>
      </w:pPr>
      <w:r>
        <w:t>Every state has riot, unlawful assembly, or dispersal laws permitting police to order a crowd to disperse once disorder or violence reaches a certain level. Enforcement generally requires notice reasonably calculated to reach the crowd and a meaningful opportunity to comply before arrests. Actual notice to every person is not required, and courts have struggled to define sufficient notice and time.</w:t>
      </w:r>
    </w:p>
    <w:p>
      <w:pPr>
        <w:pStyle w:val="ListParagraph"/>
        <w:numPr>
          <w:ilvl w:val="0"/>
          <w:numId w:val="1"/>
        </w:numPr>
        <w:spacing w:after="80"/>
      </w:pPr>
      <w:r>
        <w:t>Harmon explains that because these rules give police broad on-the-street discretion, much of the practical right to protest is decided by officers rather than courts. She distinguishes the criminal question (whether a protester violated a lawful order) from the civil question (whether the arrest was unlawful), notes that some courts issued preliminary injunctions on notice and opportunity to disperse after the Ferguson protests, and argues for clearer front-end rules.</w:t>
      </w:r>
    </w:p>
    <w:p>
      <w:pPr>
        <w:pStyle w:val="Heading2"/>
        <w:spacing w:after="120" w:before="240"/>
      </w:pPr>
      <w:r>
        <w:rPr>
          <w:b/>
          <w:bCs/>
        </w:rPr>
        <w:t>The Right to Record Police</w:t>
      </w:r>
    </w:p>
    <w:p>
      <w:pPr>
        <w:pStyle w:val="ListParagraph"/>
        <w:numPr>
          <w:ilvl w:val="0"/>
          <w:numId w:val="1"/>
        </w:numPr>
        <w:spacing w:after="80"/>
      </w:pPr>
      <w:r>
        <w:t>Glik v. Cunniffe, 655 F.3d 78 (1st Cir. 2011). The First Amendment protects the right to openly film police officers carrying out their duties in a public space, subject to reasonable time, place, and manner restrictions; the right was clearly established for qualified-immunity purposes.</w:t>
      </w:r>
    </w:p>
    <w:p>
      <w:pPr>
        <w:pStyle w:val="ListParagraph"/>
        <w:numPr>
          <w:ilvl w:val="0"/>
          <w:numId w:val="1"/>
        </w:numPr>
        <w:spacing w:after="80"/>
      </w:pPr>
      <w:r>
        <w:t>Other circuits have recognized the right, including ACLU of Illinois v. Alvarez, 679 F.3d 583 (7th Cir. 2012); Fields v. City of Philadelphia, 862 F.3d 353 (3d Cir. 2017); Turner v. Driver, 848 F.3d 678 (5th Cir. 2017); and Irizarry v. Yehia, 38 F.4th 1282 (10th Cir. 2022). In Sharpe v. Winterville Police Department, 59 F.4th 674 (4th Cir. 2023), the Fourth Circuit held that livestreaming one's own traffic stop is protected speech, so a policy banning it must be justified, while granting the officer qualified immunity. The Supreme Court has not addressed the question.</w:t>
      </w:r>
    </w:p>
    <w:p>
      <w:pPr>
        <w:pStyle w:val="ListParagraph"/>
        <w:numPr>
          <w:ilvl w:val="0"/>
          <w:numId w:val="1"/>
        </w:numPr>
        <w:spacing w:after="80"/>
      </w:pPr>
      <w:r>
        <w:t>Harmon notes that litigation has shifted from whether the right exists to what time, place, and manner limits (such as distance from an arrest) are reasonable, and that officer-safety commands during a stop may lawfully restrict a person's movements even if that prevents starting a recording.</w:t>
      </w:r>
    </w:p>
    <w:p>
      <w:pPr>
        <w:pStyle w:val="Heading2"/>
        <w:spacing w:after="120" w:before="240"/>
      </w:pPr>
      <w:r>
        <w:rPr>
          <w:b/>
          <w:bCs/>
        </w:rPr>
        <w:t>Body-Camera Footage and Discovery</w:t>
      </w:r>
    </w:p>
    <w:p>
      <w:pPr>
        <w:pStyle w:val="ListParagraph"/>
        <w:numPr>
          <w:ilvl w:val="0"/>
          <w:numId w:val="1"/>
        </w:numPr>
        <w:spacing w:after="80"/>
      </w:pPr>
      <w:r>
        <w:t>Public access to police body-camera footage is governed almost entirely by state public-records and body-camera statutes, which vary widely in whether footage is a public record, who may obtain it, and under what conditions.</w:t>
      </w:r>
    </w:p>
    <w:p>
      <w:pPr>
        <w:pStyle w:val="ListParagraph"/>
        <w:numPr>
          <w:ilvl w:val="0"/>
          <w:numId w:val="1"/>
        </w:numPr>
        <w:spacing w:after="80"/>
      </w:pPr>
      <w:r>
        <w:t>Brady v. Maryland, 373 U.S. 83 (1963). Suppression by the prosecution of evidence favorable to an accused that is material to guilt or punishment violates due process. Giglio v. United States, 405 U.S. 150 (1972), extends the obligation to impeachment evidence. Body-camera footage that is favorable and material must therefore be disclosed, but "[t]here is no general constitutional right to discovery in a criminal case, and Brady did not create one." Weatherford v. Bursey, 429 U.S. 545, 559 (1977).</w:t>
      </w:r>
    </w:p>
    <w:p>
      <w:pPr>
        <w:pStyle w:val="ListParagraph"/>
        <w:numPr>
          <w:ilvl w:val="0"/>
          <w:numId w:val="1"/>
        </w:numPr>
        <w:spacing w:after="80"/>
      </w:pPr>
      <w:r>
        <w:t>Harmon notes that many arrests, including many involving alleged excessive force, never result in prosecution, so criminal discovery cannot ensure access to footage, and that statutes increasingly address when officers must or may record, including to protect victims' privacy.</w:t>
      </w:r>
    </w:p>
    <w:p>
      <w:pPr>
        <w:pStyle w:val="Heading2"/>
        <w:spacing w:after="120" w:before="240"/>
      </w:pPr>
      <w:r>
        <w:rPr>
          <w:b/>
          <w:bCs/>
        </w:rPr>
        <w:t>Developments to Know</w:t>
      </w:r>
    </w:p>
    <w:p>
      <w:pPr>
        <w:pStyle w:val="ListParagraph"/>
        <w:numPr>
          <w:ilvl w:val="0"/>
          <w:numId w:val="1"/>
        </w:numPr>
        <w:spacing w:after="80"/>
      </w:pPr>
      <w:r>
        <w:t>Deadly force. In Barnes v. Felix, 605 U.S. 73 (2025), the Supreme Court unanimously rejected the moment-of-threat rule and held that excessive-force claims are judged under the totality of the circumstances, leaving open whether an officer's creation of the danger is relevant.</w:t>
      </w:r>
    </w:p>
    <w:p>
      <w:pPr>
        <w:pStyle w:val="ListParagraph"/>
        <w:numPr>
          <w:ilvl w:val="0"/>
          <w:numId w:val="1"/>
        </w:numPr>
        <w:spacing w:after="80"/>
      </w:pPr>
      <w:r>
        <w:t>Retaliatory arrest. Gonzalez v. Trevino, 602 U.S. 653 (2024), broadened the evidence that can satisfy the Nieves exception to any objective evidence that officers typically do not arrest for the conduct at issue.</w:t>
      </w:r>
    </w:p>
    <w:p>
      <w:pPr>
        <w:pStyle w:val="ListParagraph"/>
        <w:numPr>
          <w:ilvl w:val="0"/>
          <w:numId w:val="1"/>
        </w:numPr>
        <w:spacing w:after="80"/>
      </w:pPr>
      <w:r>
        <w:t>Federal policy. Executive Order 14074 (May 25, 2022), which addressed federal use-of-force standards and created the National Law Enforcement Accountability Database, was revoked on January 20, 2025, by Executive Order 14148. Executive Order 14288 (April 28, 2025), "Strengthening and Unleashing America's Law Enforcement to Pursue Criminals and Protect Innocent Citizens," directed expanded legal protections for officers and review of federal consent decrees and other agreements with police departments.</w:t>
      </w:r>
    </w:p>
    <w:p>
      <w:pPr>
        <w:pStyle w:val="ListParagraph"/>
        <w:numPr>
          <w:ilvl w:val="0"/>
          <w:numId w:val="1"/>
        </w:numPr>
        <w:spacing w:after="80"/>
      </w:pPr>
      <w:r>
        <w:t>Consent decrees. On May 21, 2025, the Justice Department moved to dismiss its pattern-or-practice suits and proposed consent decrees with Minneapolis and Louisville and announced it was closing investigations and retracting findings of constitutional violations concerning several other departments. Both cities said they would continue reforms independently.</w:t>
      </w:r>
    </w:p>
    <w:p>
      <w:pPr>
        <w:pStyle w:val="ListParagraph"/>
        <w:numPr>
          <w:ilvl w:val="0"/>
          <w:numId w:val="1"/>
        </w:numPr>
        <w:spacing w:after="80"/>
      </w:pPr>
      <w:r>
        <w:t>Legislation. The George Floyd Justice in Policing Act, which would change the § 242 intent standard from "willfully" to "knowingly or recklessly" and limit qualified immunity, was reintroduced in the House on September 15, 2025 (H.R. 5361, 119th Cong.) and has not been enacted.</w:t>
      </w:r>
    </w:p>
    <w:p>
      <w:pPr>
        <w:pStyle w:val="ListParagraph"/>
        <w:numPr>
          <w:ilvl w:val="0"/>
          <w:numId w:val="1"/>
        </w:numPr>
        <w:spacing w:after="80"/>
      </w:pPr>
      <w:r>
        <w:t>Recording buffer zones. In Nicodemus v. City of South Bend, No. 24-1099 (7th Cir. May 15, 2025), the Seventh Circuit rejected a facial First Amendment challenge to Indiana's 2023 law allowing officers to order people not to approach within 25 feet, holding it a content-neutral, narrowly tailored time, place, and manner regulation. On August 5, 2025, a different Seventh Circuit panel, in Reporters Committee for Freedom of the Press v. Rokita, No. 24-2927, affirmed a preliminary injunction against the 2023 law as likely void for vagueness under the Fourteenth Amendment, while remanding on the scope of the injunction. Indiana separately enacted a revised law in 2025 (H.E.A. 1122) permitting such an order only if the officer reasonably believes the person's presence within 25 feet will interfere with the performance of the officer's duties.</w:t>
      </w:r>
    </w:p>
    <w:p>
      <w:pPr>
        <w:pStyle w:val="ListParagraph"/>
        <w:numPr>
          <w:ilvl w:val="0"/>
          <w:numId w:val="1"/>
        </w:numPr>
        <w:spacing w:after="80"/>
      </w:pPr>
      <w:r>
        <w:t>Data. Mapping Police Violence reported that 2024 was the deadliest year since it began tracking in 2013 (1,365 killings in its initial count), and that police killed 1,314 people in 2025, a 5% decrease and the first year-over-year decline since 2019.</w:t>
      </w:r>
    </w:p>
    <w:p>
      <w:pPr>
        <w:pStyle w:val="ListParagraph"/>
        <w:numPr>
          <w:ilvl w:val="0"/>
          <w:numId w:val="1"/>
        </w:numPr>
        <w:spacing w:after="80"/>
      </w:pPr>
      <w:r>
        <w:t>Scholarship. Professor Harmon published a second edition of The Law of the Police (Aspen 2024), adding material on no-knock warrants, facial recognition, retaliatory arrest claims, state qualified-immunity reform, and community strategies to limit the scope of policing.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