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Press Freedom vs. Privacy</w:t>
      </w:r>
    </w:p>
    <w:p>
      <w:pPr>
        <w:spacing w:after="200"/>
      </w:pPr>
      <w:r>
        <w:rPr>
          <w:rFonts w:ascii="Montserrat" w:cs="Montserrat" w:eastAsia="Montserrat" w:hAnsi="Montserrat"/>
          <w:b/>
          <w:bCs/>
          <w:color w:val="E87722"/>
          <w:sz w:val="24"/>
          <w:szCs w:val="24"/>
        </w:rPr>
        <w:t>Amy Gajda</w:t>
      </w:r>
    </w:p>
    <w:p>
      <w:pPr>
        <w:pStyle w:val="Heading2"/>
        <w:spacing w:after="120" w:before="240"/>
      </w:pPr>
      <w:r>
        <w:rPr>
          <w:b/>
          <w:bCs/>
        </w:rPr>
        <w:t>Overview</w:t>
      </w:r>
    </w:p>
    <w:p>
      <w:pPr>
        <w:spacing w:after="160"/>
      </w:pPr>
      <w:r>
        <w:t>This program examines the tension between the First Amendment's protection of a free press and the common-law right to privacy, with a focus on the tort of publication of private facts and its newsworthiness defense. It covers the historical roots of the privacy torts in Warren and Brandeis's 1890 article and the Restatement (Second) of Torts; privacy in public places and the use of technology to capture images; the Hulk Hogan verdict against Gawker and the wave of medical-privacy claims that followed; the Restatement's line between information of "more or less deplorable popular appeal" and "morbid and sensational prying for its own sake"; images of the dead; the distinction between ethics-bound journalists and "quasi-journalists"; and emerging issues including mugshot websites, parental posting about children, and a possible American right to be forgotten.</w:t>
      </w:r>
    </w:p>
    <w:p>
      <w:pPr>
        <w:pStyle w:val="Heading2"/>
        <w:spacing w:after="120" w:before="240"/>
      </w:pPr>
      <w:r>
        <w:rPr>
          <w:b/>
          <w:bCs/>
        </w:rPr>
        <w:t>Learning Objectives</w:t>
      </w:r>
    </w:p>
    <w:p>
      <w:pPr>
        <w:pStyle w:val="ListParagraph"/>
        <w:numPr>
          <w:ilvl w:val="0"/>
          <w:numId w:val="1"/>
        </w:numPr>
        <w:spacing w:after="80"/>
      </w:pPr>
      <w:r>
        <w:t>Identify the elements of the four privacy torts in Restatement (Second) of Torts §§ 652A–652E, with particular attention to publication of private facts and intrusion upon seclusion.</w:t>
      </w:r>
    </w:p>
    <w:p>
      <w:pPr>
        <w:pStyle w:val="ListParagraph"/>
        <w:numPr>
          <w:ilvl w:val="0"/>
          <w:numId w:val="1"/>
        </w:numPr>
        <w:spacing w:after="80"/>
      </w:pPr>
      <w:r>
        <w:t>Apply the newsworthiness defense, including the Restatement's distinction between information of legitimate public concern and morbid and sensational prying for its own sake.</w:t>
      </w:r>
    </w:p>
    <w:p>
      <w:pPr>
        <w:pStyle w:val="ListParagraph"/>
        <w:numPr>
          <w:ilvl w:val="0"/>
          <w:numId w:val="1"/>
        </w:numPr>
        <w:spacing w:after="80"/>
      </w:pPr>
      <w:r>
        <w:t>Analyze when a person retains a reasonable expectation of privacy in public places or in information that has been partly disclosed, including through technology-enhanced observation.</w:t>
      </w:r>
    </w:p>
    <w:p>
      <w:pPr>
        <w:pStyle w:val="ListParagraph"/>
        <w:numPr>
          <w:ilvl w:val="0"/>
          <w:numId w:val="1"/>
        </w:numPr>
        <w:spacing w:after="80"/>
      </w:pPr>
      <w:r>
        <w:t>Evaluate how courts have treated the publication of nudity, sexual content, medical records, and images of the deceased, using Bollea v. Gawker, Pierre-Paul v. ESPN, and Jackson v. Mayweather as examples.</w:t>
      </w:r>
    </w:p>
    <w:p>
      <w:pPr>
        <w:pStyle w:val="ListParagraph"/>
        <w:numPr>
          <w:ilvl w:val="0"/>
          <w:numId w:val="1"/>
        </w:numPr>
        <w:spacing w:after="80"/>
      </w:pPr>
      <w:r>
        <w:t>Assess whether courts treat traditional journalists and non-traditional publishers differently and how those decisions may affect mainstream media.</w:t>
      </w:r>
    </w:p>
    <w:p>
      <w:pPr>
        <w:pStyle w:val="ListParagraph"/>
        <w:numPr>
          <w:ilvl w:val="0"/>
          <w:numId w:val="1"/>
        </w:numPr>
        <w:spacing w:after="80"/>
      </w:pPr>
      <w:r>
        <w:t>Recognize current legislative responses, including nonconsensual intimate image laws, the federal TAKE IT DOWN Act, and state limits on the release of booking photographs.</w:t>
      </w:r>
    </w:p>
    <w:p>
      <w:pPr>
        <w:pStyle w:val="Heading2"/>
        <w:spacing w:after="120" w:before="240"/>
      </w:pPr>
      <w:r>
        <w:rPr>
          <w:b/>
          <w:bCs/>
        </w:rPr>
        <w:t>Origins of the Right to Privacy</w:t>
      </w:r>
    </w:p>
    <w:p>
      <w:pPr>
        <w:pStyle w:val="ListParagraph"/>
        <w:numPr>
          <w:ilvl w:val="0"/>
          <w:numId w:val="1"/>
        </w:numPr>
        <w:spacing w:after="80"/>
      </w:pPr>
      <w:r>
        <w:t>Samuel D. Warren &amp; Louis D. Brandeis, The Right to Privacy, 4 Harv. L. Rev. 193 (1890). The article proposed a common-law "right to be let alone" and was prompted largely by press coverage of private and social affairs.</w:t>
      </w:r>
    </w:p>
    <w:p>
      <w:pPr>
        <w:pStyle w:val="ListParagraph"/>
        <w:numPr>
          <w:ilvl w:val="0"/>
          <w:numId w:val="1"/>
        </w:numPr>
        <w:spacing w:after="80"/>
      </w:pPr>
      <w:r>
        <w:t>Sidis v. F-R Pub. Corp., 113 F.2d 806 (2d Cir. 1940). The court rejected a private-facts claim by a former child prodigy profiled by The New Yorker decades later, holding that his earlier fame kept his later life a legitimate subject of public interest. The case illustrates the strong deference courts historically gave to editorial judgment.</w:t>
      </w:r>
    </w:p>
    <w:p>
      <w:pPr>
        <w:pStyle w:val="ListParagraph"/>
        <w:numPr>
          <w:ilvl w:val="0"/>
          <w:numId w:val="1"/>
        </w:numPr>
        <w:spacing w:after="80"/>
      </w:pPr>
      <w:r>
        <w:t>New York Times Co. v. Sullivan, 376 U.S. 254 (1964). Sullivan requires public officials suing for defamation to prove actual malice. The decision ushered in a period of strong judicial deference to the press that extended, in practice, to privacy claims.</w:t>
      </w:r>
    </w:p>
    <w:p>
      <w:pPr>
        <w:pStyle w:val="Heading2"/>
        <w:spacing w:after="120" w:before="240"/>
      </w:pPr>
      <w:r>
        <w:rPr>
          <w:b/>
          <w:bCs/>
        </w:rPr>
        <w:t>The Restatement Privacy Torts</w:t>
      </w:r>
    </w:p>
    <w:p>
      <w:pPr>
        <w:pStyle w:val="ListParagraph"/>
        <w:numPr>
          <w:ilvl w:val="0"/>
          <w:numId w:val="1"/>
        </w:numPr>
        <w:spacing w:after="80"/>
      </w:pPr>
      <w:r>
        <w:t>Restatement (Second) of Torts § 652A (1977). This section identifies four forms of invasion of privacy: intrusion upon seclusion (§ 652B), appropriation of name or likeness (§ 652C), publicity given to private life (§ 652D), and publicity placing a person in a false light (§ 652E).</w:t>
      </w:r>
    </w:p>
    <w:p>
      <w:pPr>
        <w:pStyle w:val="ListParagraph"/>
        <w:numPr>
          <w:ilvl w:val="0"/>
          <w:numId w:val="1"/>
        </w:numPr>
        <w:spacing w:after="80"/>
      </w:pPr>
      <w:r>
        <w:t>§ 652D, publicity given to private life. The plaintiff must show publicity about a matter concerning private life that would be highly offensive to a reasonable person and is not of legitimate concern to the public.</w:t>
      </w:r>
    </w:p>
    <w:p>
      <w:pPr>
        <w:pStyle w:val="ListParagraph"/>
        <w:numPr>
          <w:ilvl w:val="0"/>
          <w:numId w:val="1"/>
        </w:numPr>
        <w:spacing w:after="80"/>
      </w:pPr>
      <w:r>
        <w:t>§ 652B, intrusion upon seclusion. This tort requires no publication. It covers intentional intrusion into private affairs that would be highly offensive to a reasonable person. The commentary recognizes that observing a person with binoculars or similar devices, even from outside the home, can qualify.</w:t>
      </w:r>
    </w:p>
    <w:p>
      <w:pPr>
        <w:pStyle w:val="ListParagraph"/>
        <w:numPr>
          <w:ilvl w:val="0"/>
          <w:numId w:val="1"/>
        </w:numPr>
        <w:spacing w:after="80"/>
      </w:pPr>
      <w:r>
        <w:t>Related claims frequently pleaded alongside privacy torts include intentional infliction of emotional distress and, in some jurisdictions, negligent infliction of emotional distress.</w:t>
      </w:r>
    </w:p>
    <w:p>
      <w:pPr>
        <w:pStyle w:val="ListParagraph"/>
        <w:numPr>
          <w:ilvl w:val="0"/>
          <w:numId w:val="1"/>
        </w:numPr>
        <w:spacing w:after="80"/>
      </w:pPr>
      <w:r>
        <w:t>State variation. New York recognizes no common-law privacy tort. Its statutory claim under N.Y. Civil Rights Law §§ 50–51 is limited to use of a person's name, portrait, or picture for advertising or trade purposes.</w:t>
      </w:r>
    </w:p>
    <w:p>
      <w:pPr>
        <w:pStyle w:val="Heading2"/>
        <w:spacing w:after="120" w:before="240"/>
      </w:pPr>
      <w:r>
        <w:rPr>
          <w:b/>
          <w:bCs/>
        </w:rPr>
        <w:t>Newsworthiness and Legitimate Public Concern</w:t>
      </w:r>
    </w:p>
    <w:p>
      <w:pPr>
        <w:pStyle w:val="ListParagraph"/>
        <w:numPr>
          <w:ilvl w:val="0"/>
          <w:numId w:val="1"/>
        </w:numPr>
        <w:spacing w:after="80"/>
      </w:pPr>
      <w:r>
        <w:t>Restatement (Second) of Torts § 652D cmts. g, h. The commentary defines legitimate public concern broadly, reaching matters "of genuine, even if more or less deplorable, popular appeal," but excludes "a morbid and sensational prying into private lives for its own sake."</w:t>
      </w:r>
    </w:p>
    <w:p>
      <w:pPr>
        <w:pStyle w:val="ListParagraph"/>
        <w:numPr>
          <w:ilvl w:val="0"/>
          <w:numId w:val="1"/>
        </w:numPr>
        <w:spacing w:after="80"/>
      </w:pPr>
      <w:r>
        <w:t>Cox Broadcasting Corp. v. Cohn, 420 U.S. 469 (1975). A state may not impose liability for truthfully publishing a rape victim's name obtained from public court records.</w:t>
      </w:r>
    </w:p>
    <w:p>
      <w:pPr>
        <w:pStyle w:val="ListParagraph"/>
        <w:numPr>
          <w:ilvl w:val="0"/>
          <w:numId w:val="1"/>
        </w:numPr>
        <w:spacing w:after="80"/>
      </w:pPr>
      <w:r>
        <w:t>The Florida Star v. B.J.F., 491 U.S. 524 (1989). If a newspaper lawfully obtains truthful information about a matter of public significance, the state may punish publication only when necessary to further a state interest of the highest order. The Court declined to hold that truthful publication is never punishable.</w:t>
      </w:r>
    </w:p>
    <w:p>
      <w:pPr>
        <w:pStyle w:val="ListParagraph"/>
        <w:numPr>
          <w:ilvl w:val="0"/>
          <w:numId w:val="1"/>
        </w:numPr>
        <w:spacing w:after="80"/>
      </w:pPr>
      <w:r>
        <w:t>Shulman v. Group W Productions, Inc., 18 Cal. 4th 200 (1998). Broadcasting footage of an accident victim's rescue was newsworthy, which defeated her private-facts claim. Her intrusion claim could proceed, however, because the crew recorded her conversations in the rescue helicopter, where she had a reasonable expectation of privacy.</w:t>
      </w:r>
    </w:p>
    <w:p>
      <w:pPr>
        <w:pStyle w:val="ListParagraph"/>
        <w:numPr>
          <w:ilvl w:val="0"/>
          <w:numId w:val="1"/>
        </w:numPr>
        <w:spacing w:after="80"/>
      </w:pPr>
      <w:r>
        <w:t>Haynes v. Alfred A. Knopf, Inc., 8 F.3d 1222 (7th Cir. 1993). Intimate details of a private person's past were newsworthy when closely tied to a book's account of a matter of public concern.</w:t>
      </w:r>
    </w:p>
    <w:p>
      <w:pPr>
        <w:pStyle w:val="ListParagraph"/>
        <w:numPr>
          <w:ilvl w:val="0"/>
          <w:numId w:val="1"/>
        </w:numPr>
        <w:spacing w:after="80"/>
      </w:pPr>
      <w:r>
        <w:t>Journalism ethics codes, such as the Society of Professional Journalists Code of Ethics, call on journalists to weigh the public's need for information against potential harm and to recognize that private people have a greater right to control information about themselves than public figures do.</w:t>
      </w:r>
    </w:p>
    <w:p>
      <w:pPr>
        <w:pStyle w:val="Heading2"/>
        <w:spacing w:after="120" w:before="240"/>
      </w:pPr>
      <w:r>
        <w:rPr>
          <w:b/>
          <w:bCs/>
        </w:rPr>
        <w:t>Privacy in Public Places</w:t>
      </w:r>
    </w:p>
    <w:p>
      <w:pPr>
        <w:pStyle w:val="ListParagraph"/>
        <w:numPr>
          <w:ilvl w:val="0"/>
          <w:numId w:val="1"/>
        </w:numPr>
        <w:spacing w:after="80"/>
      </w:pPr>
      <w:r>
        <w:t>Daily Times Democrat v. Graham, 276 Ala. 380, 162 So. 2d 474 (1964). A newspaper was held liable for publishing a photograph of a woman whose dress had been blown up by air jets as she left a county-fair fun house. Being in a public place did not defeat her privacy claim when the exposure was involuntary and embarrassing.</w:t>
      </w:r>
    </w:p>
    <w:p>
      <w:pPr>
        <w:pStyle w:val="ListParagraph"/>
        <w:numPr>
          <w:ilvl w:val="0"/>
          <w:numId w:val="1"/>
        </w:numPr>
        <w:spacing w:after="80"/>
      </w:pPr>
      <w:r>
        <w:t>Foster v. Svenson, 128 A.D.3d 150 (N.Y. App. Div. 1st Dep't 2015). An artist who used a telephoto lens to photograph neighbors inside their apartment and exhibited the images as "The Neighbors" was not liable under N.Y. Civil Rights Law §§ 50–51 because the work was art rather than advertising or trade. The court noted that the legislature could address such intrusions.</w:t>
      </w:r>
    </w:p>
    <w:p>
      <w:pPr>
        <w:pStyle w:val="Heading2"/>
        <w:spacing w:after="120" w:before="240"/>
      </w:pPr>
      <w:r>
        <w:rPr>
          <w:b/>
          <w:bCs/>
        </w:rPr>
        <w:t>Sexual Content and Nudity</w:t>
      </w:r>
    </w:p>
    <w:p>
      <w:pPr>
        <w:pStyle w:val="ListParagraph"/>
        <w:numPr>
          <w:ilvl w:val="0"/>
          <w:numId w:val="1"/>
        </w:numPr>
        <w:spacing w:after="80"/>
      </w:pPr>
      <w:r>
        <w:t>Bollea v. Gawker Media, LLC (Fla. Cir. Ct., Pinellas Cnty. 2016). A jury rejected Gawker's newsworthiness defense to publishing excerpts of a secretly recorded sex video of Terry Bollea (Hulk Hogan). It awarded $115 million in compensatory damages and $25 million in punitive damages. Gawker Media filed for bankruptcy and settled for $31 million in November 2016.</w:t>
      </w:r>
    </w:p>
    <w:p>
      <w:pPr>
        <w:pStyle w:val="ListParagraph"/>
        <w:numPr>
          <w:ilvl w:val="0"/>
          <w:numId w:val="1"/>
        </w:numPr>
        <w:spacing w:after="80"/>
      </w:pPr>
      <w:r>
        <w:t>Erin Andrews v. Marriott International, Inc., et al. (Tenn. Cir. Ct., Davidson Cnty. 2016). A jury awarded $55 million on March 7, 2016, against the man who secretly filmed Andrews through a hotel peephole and the hotel's owner and operator.</w:t>
      </w:r>
    </w:p>
    <w:p>
      <w:pPr>
        <w:pStyle w:val="ListParagraph"/>
        <w:numPr>
          <w:ilvl w:val="0"/>
          <w:numId w:val="1"/>
        </w:numPr>
        <w:spacing w:after="80"/>
      </w:pPr>
      <w:r>
        <w:t>Consent to filming is not consent to publication. A subject who knows a recording is being made may still have a privacy interest in preventing its publication. Prior public discussion of one's sex life, or prior nude performances, does not necessarily waive privacy in a specific intimate recording.</w:t>
      </w:r>
    </w:p>
    <w:p>
      <w:pPr>
        <w:pStyle w:val="Heading2"/>
        <w:spacing w:after="120" w:before="240"/>
      </w:pPr>
      <w:r>
        <w:rPr>
          <w:b/>
          <w:bCs/>
        </w:rPr>
        <w:t>Medical Information</w:t>
      </w:r>
    </w:p>
    <w:p>
      <w:pPr>
        <w:pStyle w:val="ListParagraph"/>
        <w:numPr>
          <w:ilvl w:val="0"/>
          <w:numId w:val="1"/>
        </w:numPr>
        <w:spacing w:after="80"/>
      </w:pPr>
      <w:r>
        <w:t>Pierre-Paul v. ESPN, Inc. (S.D. Fla.). In August 2016, the court denied ESPN's motion to dismiss a claim based on a reporter's tweet of the player's hospital chart showing a finger amputation. The parties settled in January 2017. The underlying injury was newsworthy, but publishing the medical record itself was alleged to go too far.</w:t>
      </w:r>
    </w:p>
    <w:p>
      <w:pPr>
        <w:pStyle w:val="ListParagraph"/>
        <w:numPr>
          <w:ilvl w:val="0"/>
          <w:numId w:val="1"/>
        </w:numPr>
        <w:spacing w:after="80"/>
      </w:pPr>
      <w:r>
        <w:t>Jackson v. Mayweather, 10 Cal. App. 5th 1240 (2017). Under California's anti-SLAPP statute, the court held that the boxer's statement that his former fiancée had an abortion concerned a matter of public interest. Her private-facts claim based on his posting of a sonogram and medical information could proceed. The case settled in 2021.</w:t>
      </w:r>
    </w:p>
    <w:p>
      <w:pPr>
        <w:pStyle w:val="ListParagraph"/>
        <w:numPr>
          <w:ilvl w:val="0"/>
          <w:numId w:val="1"/>
        </w:numPr>
        <w:spacing w:after="80"/>
      </w:pPr>
      <w:r>
        <w:t>HIPAA (Health Insurance Portability and Accountability Act of 1996) binds covered health care entities, not the press. Courts may nonetheless cite it as evidence of a social norm that medical records are private.</w:t>
      </w:r>
    </w:p>
    <w:p>
      <w:pPr>
        <w:pStyle w:val="Heading2"/>
        <w:spacing w:after="120" w:before="240"/>
      </w:pPr>
      <w:r>
        <w:rPr>
          <w:b/>
          <w:bCs/>
        </w:rPr>
        <w:t>Images of the Dead</w:t>
      </w:r>
    </w:p>
    <w:p>
      <w:pPr>
        <w:pStyle w:val="ListParagraph"/>
        <w:numPr>
          <w:ilvl w:val="0"/>
          <w:numId w:val="1"/>
        </w:numPr>
        <w:spacing w:after="80"/>
      </w:pPr>
      <w:r>
        <w:t>Marsh v. County of San Diego, 680 F.3d 1148 (9th Cir. 2012). The court held that the Constitution protects a parent's right to control the physical remains, memory, and images of a deceased child against unwarranted public exploitation by the government. A former prosecutor had sent a child's autopsy photograph to news media. The county was not liable, and the former prosecutor received qualified immunity because the right was not clearly established.</w:t>
      </w:r>
    </w:p>
    <w:p>
      <w:pPr>
        <w:pStyle w:val="ListParagraph"/>
        <w:numPr>
          <w:ilvl w:val="0"/>
          <w:numId w:val="1"/>
        </w:numPr>
        <w:spacing w:after="80"/>
      </w:pPr>
      <w:r>
        <w:t>Catsouras v. Department of California Highway Patrol, 181 Cal. App. 4th 856 (2010). Family members of a young woman killed in a crash could pursue privacy and emotional-distress claims against officers who disseminated graphic death-scene photographs that then spread online.</w:t>
      </w:r>
    </w:p>
    <w:p>
      <w:pPr>
        <w:pStyle w:val="ListParagraph"/>
        <w:numPr>
          <w:ilvl w:val="0"/>
          <w:numId w:val="1"/>
        </w:numPr>
        <w:spacing w:after="80"/>
      </w:pPr>
      <w:r>
        <w:t>News organizations generally refrain from publishing images of the dead on ethical grounds. As a result, few cases have tested whether such publication by mainstream media is actionable.</w:t>
      </w:r>
    </w:p>
    <w:p>
      <w:pPr>
        <w:pStyle w:val="Heading2"/>
        <w:spacing w:after="120" w:before="240"/>
      </w:pPr>
      <w:r>
        <w:rPr>
          <w:b/>
          <w:bCs/>
        </w:rPr>
        <w:t>Journalists and Quasi-Journalists</w:t>
      </w:r>
    </w:p>
    <w:p>
      <w:pPr>
        <w:pStyle w:val="ListParagraph"/>
        <w:numPr>
          <w:ilvl w:val="0"/>
          <w:numId w:val="1"/>
        </w:numPr>
        <w:spacing w:after="80"/>
      </w:pPr>
      <w:r>
        <w:t>The First Amendment's press protections are not limited to institutional media. Courts generally apply the same doctrine to bloggers, influencers, and other non-traditional publishers.</w:t>
      </w:r>
    </w:p>
    <w:p>
      <w:pPr>
        <w:pStyle w:val="ListParagraph"/>
        <w:numPr>
          <w:ilvl w:val="0"/>
          <w:numId w:val="1"/>
        </w:numPr>
        <w:spacing w:after="80"/>
      </w:pPr>
      <w:r>
        <w:t>Professor Gajda argues that judges may be more willing to second-guess publication decisions by publishers who do not follow journalism ethics. Precedents decided against them can then narrow protection for mainstream media as well. See Amy Gajda, The First Amendment Bubble: How Privacy and Paparazzi Threaten a Free Press (Harvard Univ. Press 2015).</w:t>
      </w:r>
    </w:p>
    <w:p>
      <w:pPr>
        <w:pStyle w:val="ListParagraph"/>
        <w:numPr>
          <w:ilvl w:val="0"/>
          <w:numId w:val="1"/>
        </w:numPr>
        <w:spacing w:after="80"/>
      </w:pPr>
      <w:r>
        <w:t>47 U.S.C. § 230 generally shields online platforms from liability as publishers of content provided by others, but it does not protect the person who creates or posts the content.</w:t>
      </w:r>
    </w:p>
    <w:p>
      <w:pPr>
        <w:pStyle w:val="Heading2"/>
        <w:spacing w:after="120" w:before="240"/>
      </w:pPr>
      <w:r>
        <w:rPr>
          <w:b/>
          <w:bCs/>
        </w:rPr>
        <w:t>Criminal Records, Mugshots, and the Passage of Time</w:t>
      </w:r>
    </w:p>
    <w:p>
      <w:pPr>
        <w:pStyle w:val="ListParagraph"/>
        <w:numPr>
          <w:ilvl w:val="0"/>
          <w:numId w:val="1"/>
        </w:numPr>
        <w:spacing w:after="80"/>
      </w:pPr>
      <w:r>
        <w:t>Restatement (Second) of Torts § 652D cmt. k. The commentary recognizes that the lapse of time may affect whether publicity about a person's past remains of legitimate public concern, particularly for a person who has returned to private life.</w:t>
      </w:r>
    </w:p>
    <w:p>
      <w:pPr>
        <w:pStyle w:val="ListParagraph"/>
        <w:numPr>
          <w:ilvl w:val="0"/>
          <w:numId w:val="1"/>
        </w:numPr>
        <w:spacing w:after="80"/>
      </w:pPr>
      <w:r>
        <w:t>Mugshot websites. Many states have responded to sites that post booking photographs or charge for their removal. California's AB 1475 (2021), codified at Cal. Penal Code § 13665, bars police agencies from posting booking photos of people arrested for nonviolent crimes on social media except in limited circumstances, and it requires removal on request. Several other states regulate pay-for-removal mugshot sites.</w:t>
      </w:r>
    </w:p>
    <w:p>
      <w:pPr>
        <w:pStyle w:val="ListParagraph"/>
        <w:numPr>
          <w:ilvl w:val="0"/>
          <w:numId w:val="1"/>
        </w:numPr>
        <w:spacing w:after="80"/>
      </w:pPr>
      <w:r>
        <w:t>Right to be forgotten. The EU's General Data Protection Regulation, art. 17, gives data subjects a qualified right to erasure, including delisting by search engines. The United States has no general counterpart, and First Amendment limits make a broad one unlikely.</w:t>
      </w:r>
    </w:p>
    <w:p>
      <w:pPr>
        <w:pStyle w:val="Heading2"/>
        <w:spacing w:after="120" w:before="240"/>
      </w:pPr>
      <w:r>
        <w:rPr>
          <w:b/>
          <w:bCs/>
        </w:rPr>
        <w:t>Further Reading</w:t>
      </w:r>
    </w:p>
    <w:p>
      <w:pPr>
        <w:pStyle w:val="ListParagraph"/>
        <w:numPr>
          <w:ilvl w:val="0"/>
          <w:numId w:val="1"/>
        </w:numPr>
        <w:spacing w:after="80"/>
      </w:pPr>
      <w:r>
        <w:t>Amy Gajda, The First Amendment Bubble: How Privacy and Paparazzi Threaten a Free Press (Harvard Univ. Press 2015).</w:t>
      </w:r>
    </w:p>
    <w:p>
      <w:pPr>
        <w:pStyle w:val="ListParagraph"/>
        <w:numPr>
          <w:ilvl w:val="0"/>
          <w:numId w:val="1"/>
        </w:numPr>
        <w:spacing w:after="80"/>
      </w:pPr>
      <w:r>
        <w:t>Amy Gajda, Seek and Hide: The Tangled History of the Right to Privacy (Viking 2022).</w:t>
      </w:r>
    </w:p>
    <w:p>
      <w:pPr>
        <w:pStyle w:val="Heading2"/>
        <w:spacing w:after="120" w:before="240"/>
      </w:pPr>
      <w:r>
        <w:rPr>
          <w:b/>
          <w:bCs/>
        </w:rPr>
        <w:t>Developments to Know</w:t>
      </w:r>
    </w:p>
    <w:p>
      <w:pPr>
        <w:pStyle w:val="ListParagraph"/>
        <w:numPr>
          <w:ilvl w:val="0"/>
          <w:numId w:val="1"/>
        </w:numPr>
        <w:spacing w:after="80"/>
      </w:pPr>
      <w:r>
        <w:t>TAKE IT DOWN Act (signed May 19, 2025). The federal law criminalizes knowingly publishing nonconsensual intimate images, including AI-generated "digital forgeries." Since May 19, 2026, it has required covered platforms to remove such images within 48 hours of a valid request, with enforcement by the FTC.</w:t>
      </w:r>
    </w:p>
    <w:p>
      <w:pPr>
        <w:pStyle w:val="ListParagraph"/>
        <w:numPr>
          <w:ilvl w:val="0"/>
          <w:numId w:val="1"/>
        </w:numPr>
        <w:spacing w:after="80"/>
      </w:pPr>
      <w:r>
        <w:t>State intimate-image laws. South Carolina enacted its law in May 2025, the last state to criminalize nonconsensual sharing of intimate images. Every state now has such a law, and many also address AI-generated images.</w:t>
      </w:r>
    </w:p>
    <w:p>
      <w:pPr>
        <w:pStyle w:val="ListParagraph"/>
        <w:numPr>
          <w:ilvl w:val="0"/>
          <w:numId w:val="1"/>
        </w:numPr>
        <w:spacing w:after="80"/>
      </w:pPr>
      <w:r>
        <w:t>New York Times v. Sullivan. On March 24, 2025, the Supreme Court denied certiorari in Wynn v. Associated Press, which had asked the Court to overrule Sullivan. Calls to revisit the actual-malice standard continue.</w:t>
      </w:r>
    </w:p>
    <w:p>
      <w:pPr>
        <w:pStyle w:val="ListParagraph"/>
        <w:numPr>
          <w:ilvl w:val="0"/>
          <w:numId w:val="1"/>
        </w:numPr>
        <w:spacing w:after="80"/>
      </w:pPr>
      <w:r>
        <w:t>Restatement (Third) of Torts: Defamation and Privacy. The American Law Institute project, with reporters Lyrissa Barnett Lidsky and Robert C. Post, is restating defamation and privacy law, including internet-era issues. Tentative Draft No. 1, covering defamation, was approved at the May 2026 Annual Meeting. The privacy provisions remain in progress, and Restatement (Second) §§ 652A–652E remain the principal reference.</w:t>
      </w:r>
    </w:p>
    <w:p>
      <w:pPr>
        <w:pStyle w:val="ListParagraph"/>
        <w:numPr>
          <w:ilvl w:val="0"/>
          <w:numId w:val="1"/>
        </w:numPr>
        <w:spacing w:after="80"/>
      </w:pPr>
      <w:r>
        <w:t>Bollea v. Gawker aftermath. The $140 million verdict led to Gawker Media's bankruptcy and sale, and to a $31 million settlement in 2016. Hulk Hogan (Terry Bollea) died in July 2025. The case remains the leading modern example of a jury rejecting a newsworthiness defense.</w:t>
      </w:r>
    </w:p>
    <w:p>
      <w:pPr>
        <w:pStyle w:val="ListParagraph"/>
        <w:numPr>
          <w:ilvl w:val="0"/>
          <w:numId w:val="1"/>
        </w:numPr>
        <w:spacing w:after="80"/>
      </w:pPr>
      <w:r>
        <w:t>Booking photos. Since 2021, California and other states have restricted law-enforcement posting of mugshots for nonviolent offenses or regulated mugshot-removal businesses, reflecting the concerns about mugshot websites discussed in the program.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