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Pseudoscience and Dubious Forensics</w:t>
      </w:r>
    </w:p>
    <w:p>
      <w:pPr>
        <w:spacing w:after="200"/>
      </w:pPr>
      <w:r>
        <w:rPr>
          <w:rFonts w:ascii="Montserrat" w:cs="Montserrat" w:eastAsia="Montserrat" w:hAnsi="Montserrat"/>
          <w:b/>
          <w:bCs/>
          <w:color w:val="E87722"/>
          <w:sz w:val="24"/>
          <w:szCs w:val="24"/>
        </w:rPr>
        <w:t>M. Chris Fabricant</w:t>
      </w:r>
    </w:p>
    <w:p>
      <w:pPr>
        <w:pStyle w:val="Heading2"/>
        <w:spacing w:after="120" w:before="240"/>
      </w:pPr>
      <w:r>
        <w:rPr>
          <w:b/>
          <w:bCs/>
        </w:rPr>
        <w:t>Overview</w:t>
      </w:r>
    </w:p>
    <w:p>
      <w:pPr>
        <w:spacing w:after="160"/>
      </w:pPr>
      <w:r>
        <w:t>This program examines how forensic techniques that were never scientifically validated have entered American criminal courts and contributed to wrongful convictions. It covers the origins of pattern-matching disciplines such as bite-mark, hair, toolmark, and shoe-print comparison; the Frye and Daubert admissibility standards and how they are applied in criminal cases; canine scent evidence, blood-spatter analysis, and cognitive bias; the post-conviction path to relief illustrated by the exoneration of Steven Mark Chaney under Texas's junk science writ; the toolmark case of Jimmy Genrich; and structural reforms including independent crime laboratories, forensic science commissions, and national standards.</w:t>
      </w:r>
    </w:p>
    <w:p>
      <w:pPr>
        <w:pStyle w:val="Heading2"/>
        <w:spacing w:after="120" w:before="240"/>
      </w:pPr>
      <w:r>
        <w:rPr>
          <w:b/>
          <w:bCs/>
        </w:rPr>
        <w:t>Learning Objectives</w:t>
      </w:r>
    </w:p>
    <w:p>
      <w:pPr>
        <w:pStyle w:val="ListParagraph"/>
        <w:numPr>
          <w:ilvl w:val="0"/>
          <w:numId w:val="1"/>
        </w:numPr>
        <w:spacing w:after="80"/>
      </w:pPr>
      <w:r>
        <w:t>Distinguish the Frye general-acceptance test from the Daubert/Rule 702 reliability framework, and identify which standard governs in a given jurisdiction.</w:t>
      </w:r>
    </w:p>
    <w:p>
      <w:pPr>
        <w:pStyle w:val="ListParagraph"/>
        <w:numPr>
          <w:ilvl w:val="0"/>
          <w:numId w:val="1"/>
        </w:numPr>
        <w:spacing w:after="80"/>
      </w:pPr>
      <w:r>
        <w:t>Recognize the scientific limits of subjective pattern-matching disciplines, including bite-mark, microscopic hair, toolmark and firearms, and footwear comparison.</w:t>
      </w:r>
    </w:p>
    <w:p>
      <w:pPr>
        <w:pStyle w:val="ListParagraph"/>
        <w:numPr>
          <w:ilvl w:val="0"/>
          <w:numId w:val="1"/>
        </w:numPr>
        <w:spacing w:after="80"/>
      </w:pPr>
      <w:r>
        <w:t>Identify overstated expert testimony, such as source attributions "to the exclusion of all others" and unsupported statistics, and develop strategies to challenge or limit it.</w:t>
      </w:r>
    </w:p>
    <w:p>
      <w:pPr>
        <w:pStyle w:val="ListParagraph"/>
        <w:numPr>
          <w:ilvl w:val="0"/>
          <w:numId w:val="1"/>
        </w:numPr>
        <w:spacing w:after="80"/>
      </w:pPr>
      <w:r>
        <w:t>Explain how contextual and confirmation bias affect forensic conclusions and the procedural safeguards that reduce them.</w:t>
      </w:r>
    </w:p>
    <w:p>
      <w:pPr>
        <w:pStyle w:val="ListParagraph"/>
        <w:numPr>
          <w:ilvl w:val="0"/>
          <w:numId w:val="1"/>
        </w:numPr>
        <w:spacing w:after="80"/>
      </w:pPr>
      <w:r>
        <w:t>Evaluate post-conviction remedies for convictions based on discredited science, including Texas Code of Criminal Procedure art. 11.073 and conviction integrity units.</w:t>
      </w:r>
    </w:p>
    <w:p>
      <w:pPr>
        <w:pStyle w:val="ListParagraph"/>
        <w:numPr>
          <w:ilvl w:val="0"/>
          <w:numId w:val="1"/>
        </w:numPr>
        <w:spacing w:after="80"/>
      </w:pPr>
      <w:r>
        <w:t>Assess institutional reforms, including independent crime laboratories, forensic science commissions, and national standards.</w:t>
      </w:r>
    </w:p>
    <w:p>
      <w:pPr>
        <w:pStyle w:val="Heading2"/>
        <w:spacing w:after="120" w:before="240"/>
      </w:pPr>
      <w:r>
        <w:rPr>
          <w:b/>
          <w:bCs/>
        </w:rPr>
        <w:t>Forensics and Wrongful Convictions</w:t>
      </w:r>
    </w:p>
    <w:p>
      <w:pPr>
        <w:pStyle w:val="ListParagraph"/>
        <w:numPr>
          <w:ilvl w:val="0"/>
          <w:numId w:val="1"/>
        </w:numPr>
        <w:spacing w:after="80"/>
      </w:pPr>
      <w:r>
        <w:t>The Innocence Project's root-cause analysis of DNA exonerations identifies eyewitness misidentification, misapplied forensic science, and false confessions as leading contributing factors. It reports that misapplied forensic science contributed to nearly half (about 45 percent) of the DNA exonerations it studied. The National Registry of Exonerations, which tracks all exonerations since 1989, DNA and non-DNA, has found false or misleading forensic evidence in roughly a quarter of cases.</w:t>
      </w:r>
    </w:p>
    <w:p>
      <w:pPr>
        <w:pStyle w:val="ListParagraph"/>
        <w:numPr>
          <w:ilvl w:val="0"/>
          <w:numId w:val="1"/>
        </w:numPr>
        <w:spacing w:after="80"/>
      </w:pPr>
      <w:r>
        <w:t>Many forensic disciplines developed in crime investigation rather than research laboratories. Their acceptance in court has often depended on precedent rather than empirical validation.</w:t>
      </w:r>
    </w:p>
    <w:p>
      <w:pPr>
        <w:pStyle w:val="ListParagraph"/>
        <w:numPr>
          <w:ilvl w:val="0"/>
          <w:numId w:val="1"/>
        </w:numPr>
        <w:spacing w:after="80"/>
      </w:pPr>
      <w:r>
        <w:t>People v. Marx, 54 Cal. App. 3d 100 (1975). This early, widely cited bite-mark admissibility decision involved a bite on a victim's nose. The court relied on what it could see for itself in the comparison, not on validation studies.</w:t>
      </w:r>
    </w:p>
    <w:p>
      <w:pPr>
        <w:pStyle w:val="Heading2"/>
        <w:spacing w:after="120" w:before="240"/>
      </w:pPr>
      <w:r>
        <w:rPr>
          <w:b/>
          <w:bCs/>
        </w:rPr>
        <w:t>Admissibility Standards</w:t>
      </w:r>
    </w:p>
    <w:p>
      <w:pPr>
        <w:pStyle w:val="ListParagraph"/>
        <w:numPr>
          <w:ilvl w:val="0"/>
          <w:numId w:val="1"/>
        </w:numPr>
        <w:spacing w:after="80"/>
      </w:pPr>
      <w:r>
        <w:t>Frye v. United States, 293 F. 1013 (D.C. Cir. 1923). Under Frye, expert testimony based on a scientific technique is admissible if the technique is "generally accepted" in the relevant scientific community. Defining that community as the practitioners themselves can make the test circular.</w:t>
      </w:r>
    </w:p>
    <w:p>
      <w:pPr>
        <w:pStyle w:val="ListParagraph"/>
        <w:numPr>
          <w:ilvl w:val="0"/>
          <w:numId w:val="1"/>
        </w:numPr>
        <w:spacing w:after="80"/>
      </w:pPr>
      <w:r>
        <w:t>Daubert v. Merrell Dow Pharmaceuticals, Inc., 509 U.S. 579 (1993). Daubert held that Federal Rule of Evidence 702 superseded Frye and made trial judges gatekeepers of reliability. It listed nonexclusive factors: testability, peer review and publication, known or potential error rate, standards controlling the technique's operation, and general acceptance.</w:t>
      </w:r>
    </w:p>
    <w:p>
      <w:pPr>
        <w:pStyle w:val="ListParagraph"/>
        <w:numPr>
          <w:ilvl w:val="0"/>
          <w:numId w:val="1"/>
        </w:numPr>
        <w:spacing w:after="80"/>
      </w:pPr>
      <w:r>
        <w:t>General Electric Co. v. Joiner, 522 U.S. 136 (1997). Appellate courts review admissibility rulings for abuse of discretion, and a court may exclude an opinion when there is "too great an analytical gap" between the data and the conclusion.</w:t>
      </w:r>
    </w:p>
    <w:p>
      <w:pPr>
        <w:pStyle w:val="ListParagraph"/>
        <w:numPr>
          <w:ilvl w:val="0"/>
          <w:numId w:val="1"/>
        </w:numPr>
        <w:spacing w:after="80"/>
      </w:pPr>
      <w:r>
        <w:t>Kumho Tire Co. v. Carmichael, 526 U.S. 137 (1999). The gatekeeping obligation applies to all expert testimony, including technical and experience-based testimony, not only "scientific" evidence. This forecloses the argument that pattern-matching opinions are exempt because they are "just expert testimony."</w:t>
      </w:r>
    </w:p>
    <w:p>
      <w:pPr>
        <w:pStyle w:val="ListParagraph"/>
        <w:numPr>
          <w:ilvl w:val="0"/>
          <w:numId w:val="1"/>
        </w:numPr>
        <w:spacing w:after="80"/>
      </w:pPr>
      <w:r>
        <w:t>Federal Rule of Evidence 702 (as amended Dec. 1, 2023). The proponent must show the court that it is more likely than not that the testimony meets each requirement, and each opinion must reflect a reliable application of the method to the facts. The Advisory Committee Note specifically warns against forensic overstatement, such as claims of absolute or 100 percent certainty.</w:t>
      </w:r>
    </w:p>
    <w:p>
      <w:pPr>
        <w:pStyle w:val="ListParagraph"/>
        <w:numPr>
          <w:ilvl w:val="0"/>
          <w:numId w:val="1"/>
        </w:numPr>
        <w:spacing w:after="80"/>
      </w:pPr>
      <w:r>
        <w:t>States remain divided. Some follow Frye or a variant, others Daubert. Practitioners should confirm the governing standard and recognize that criminal courts often treat reliability objections as going "to weight, not admissibility."</w:t>
      </w:r>
    </w:p>
    <w:p>
      <w:pPr>
        <w:pStyle w:val="Heading2"/>
        <w:spacing w:after="120" w:before="240"/>
      </w:pPr>
      <w:r>
        <w:rPr>
          <w:b/>
          <w:bCs/>
        </w:rPr>
        <w:t>Bite-Mark Analysis</w:t>
      </w:r>
    </w:p>
    <w:p>
      <w:pPr>
        <w:pStyle w:val="ListParagraph"/>
        <w:numPr>
          <w:ilvl w:val="0"/>
          <w:numId w:val="1"/>
        </w:numPr>
        <w:spacing w:after="80"/>
      </w:pPr>
      <w:r>
        <w:t>Bite-mark comparison assumes that human dentition is unique and that skin accurately records a bite. Neither assumption has been empirically established. Cadaver studies by Mary and Peter Bush at SUNY Buffalo found that the same teeth did not reliably produce matching marks.</w:t>
      </w:r>
    </w:p>
    <w:p>
      <w:pPr>
        <w:pStyle w:val="ListParagraph"/>
        <w:numPr>
          <w:ilvl w:val="0"/>
          <w:numId w:val="1"/>
        </w:numPr>
        <w:spacing w:after="80"/>
      </w:pPr>
      <w:r>
        <w:t>Following sustained criticism, the American Board of Forensic Odontology revised its guidelines to stop endorsing testimony that identifies a specific biter to the exclusion of all others.</w:t>
      </w:r>
    </w:p>
    <w:p>
      <w:pPr>
        <w:pStyle w:val="ListParagraph"/>
        <w:numPr>
          <w:ilvl w:val="0"/>
          <w:numId w:val="1"/>
        </w:numPr>
        <w:spacing w:after="80"/>
      </w:pPr>
      <w:r>
        <w:t>In 2016, the Texas Forensic Science Commission recommended a moratorium on the use of bite-mark evidence in criminal cases until its scientific validity is established, the first such recommendation by a state body.</w:t>
      </w:r>
    </w:p>
    <w:p>
      <w:pPr>
        <w:pStyle w:val="ListParagraph"/>
        <w:numPr>
          <w:ilvl w:val="0"/>
          <w:numId w:val="1"/>
        </w:numPr>
        <w:spacing w:after="80"/>
      </w:pPr>
      <w:r>
        <w:t>Ex parte Chaney (Tex. Crim. App. Dec. 19, 2018). The Texas Court of Criminal Appeals granted relief under art. 11.073 and found Steven Mark Chaney actually innocent of a 1987 Dallas double murder. His conviction rested on bite-mark testimony, including a "one in a million" figure the testifying odontologist later recanted. Chaney had served about 28 years.</w:t>
      </w:r>
    </w:p>
    <w:p>
      <w:pPr>
        <w:pStyle w:val="Heading2"/>
        <w:spacing w:after="120" w:before="240"/>
      </w:pPr>
      <w:r>
        <w:rPr>
          <w:b/>
          <w:bCs/>
        </w:rPr>
        <w:t>Microscopic Hair Comparison</w:t>
      </w:r>
    </w:p>
    <w:p>
      <w:pPr>
        <w:pStyle w:val="ListParagraph"/>
        <w:numPr>
          <w:ilvl w:val="0"/>
          <w:numId w:val="1"/>
        </w:numPr>
        <w:spacing w:after="80"/>
      </w:pPr>
      <w:r>
        <w:t>Before mitochondrial DNA testing became routine around 2000, FBI and state analysts compared hairs visually under a microscope. They often testified to source attributions or invented frequencies without any statistical basis.</w:t>
      </w:r>
    </w:p>
    <w:p>
      <w:pPr>
        <w:pStyle w:val="ListParagraph"/>
        <w:numPr>
          <w:ilvl w:val="0"/>
          <w:numId w:val="1"/>
        </w:numPr>
        <w:spacing w:after="80"/>
      </w:pPr>
      <w:r>
        <w:t>In 2012–2013, the FBI and Department of Justice agreed with the Innocence Project and the National Association of Criminal Defense Lawyers to review nearly 3,000 cases involving FBI microscopic hair testimony. In April 2015, the FBI reported that testimony in at least 90 percent of the trial transcripts reviewed contained erroneous statements, including in capital cases.</w:t>
      </w:r>
    </w:p>
    <w:p>
      <w:pPr>
        <w:pStyle w:val="Heading2"/>
        <w:spacing w:after="120" w:before="240"/>
      </w:pPr>
      <w:r>
        <w:rPr>
          <w:b/>
          <w:bCs/>
        </w:rPr>
        <w:t>Toolmarks, Firearms, and Footwear</w:t>
      </w:r>
    </w:p>
    <w:p>
      <w:pPr>
        <w:pStyle w:val="ListParagraph"/>
        <w:numPr>
          <w:ilvl w:val="0"/>
          <w:numId w:val="1"/>
        </w:numPr>
        <w:spacing w:after="80"/>
      </w:pPr>
      <w:r>
        <w:t>Toolmark and firearms examiners compare striations and impressions to attribute marks to a specific tool or gun. Testimony that a tool made a mark "to the exclusion of all other tools" is not supported by validation research.</w:t>
      </w:r>
    </w:p>
    <w:p>
      <w:pPr>
        <w:pStyle w:val="ListParagraph"/>
        <w:numPr>
          <w:ilvl w:val="0"/>
          <w:numId w:val="1"/>
        </w:numPr>
        <w:spacing w:after="80"/>
      </w:pPr>
      <w:r>
        <w:t>People v. Genrich (Colo.). Jimmy Genrich was convicted in 1993 of murders arising from Grand Junction pipe bombings, chiefly on ATF toolmark testimony linking his household tools to bomb components. A Mesa County district court ordered a new trial in 2023 after finding the testimony unreliable. The Colorado Court of Appeals affirmed in 2025 (No. 23CA1183), and the Colorado Supreme Court declined review. The murder charges were dismissed in April 2026.</w:t>
      </w:r>
    </w:p>
    <w:p>
      <w:pPr>
        <w:pStyle w:val="ListParagraph"/>
        <w:numPr>
          <w:ilvl w:val="0"/>
          <w:numId w:val="1"/>
        </w:numPr>
        <w:spacing w:after="80"/>
      </w:pPr>
      <w:r>
        <w:t>Abruquah v. State, 296 A.3d 961 (Md. 2023). The Supreme Court of Maryland held that firearms identification methodology can reliably support testimony that bullets are consistent or inconsistent with a particular firearm, but not an unqualified opinion that a bullet was fired from that firearm.</w:t>
      </w:r>
    </w:p>
    <w:p>
      <w:pPr>
        <w:pStyle w:val="ListParagraph"/>
        <w:numPr>
          <w:ilvl w:val="0"/>
          <w:numId w:val="1"/>
        </w:numPr>
        <w:spacing w:after="80"/>
      </w:pPr>
      <w:r>
        <w:t>Footwear comparison can reliably establish class characteristics such as brand or tread design. Individualizing conclusions are subjective, and different shoe sizes may share the same sole.</w:t>
      </w:r>
    </w:p>
    <w:p>
      <w:pPr>
        <w:pStyle w:val="Heading2"/>
        <w:spacing w:after="120" w:before="240"/>
      </w:pPr>
      <w:r>
        <w:rPr>
          <w:b/>
          <w:bCs/>
        </w:rPr>
        <w:t>Other Disciplines Discussed</w:t>
      </w:r>
    </w:p>
    <w:p>
      <w:pPr>
        <w:pStyle w:val="ListParagraph"/>
        <w:numPr>
          <w:ilvl w:val="0"/>
          <w:numId w:val="1"/>
        </w:numPr>
        <w:spacing w:after="80"/>
      </w:pPr>
      <w:r>
        <w:t>Canine scent evidence. Cadaver-dog alerts have been admitted without standardized training, error-rate data, or peer-reviewed validation. Research suggests that handlers' expectations can unconsciously cue dogs.</w:t>
      </w:r>
    </w:p>
    <w:p>
      <w:pPr>
        <w:pStyle w:val="ListParagraph"/>
        <w:numPr>
          <w:ilvl w:val="0"/>
          <w:numId w:val="1"/>
        </w:numPr>
        <w:spacing w:after="80"/>
      </w:pPr>
      <w:r>
        <w:t>Bloodstain pattern analysis. Reliable interpretation depends on fluid dynamics and physics. The 2009 NAS report cautioned that many analysts' opinions are more subjective than scientific, and short training courses do not support reconstructing entire events.</w:t>
      </w:r>
    </w:p>
    <w:p>
      <w:pPr>
        <w:pStyle w:val="Heading2"/>
        <w:spacing w:after="120" w:before="240"/>
      </w:pPr>
      <w:r>
        <w:rPr>
          <w:b/>
          <w:bCs/>
        </w:rPr>
        <w:t>Scientific Reports</w:t>
      </w:r>
    </w:p>
    <w:p>
      <w:pPr>
        <w:pStyle w:val="ListParagraph"/>
        <w:numPr>
          <w:ilvl w:val="0"/>
          <w:numId w:val="1"/>
        </w:numPr>
        <w:spacing w:after="80"/>
      </w:pPr>
      <w:r>
        <w:t>National Research Council of the National Academies, Strengthening Forensic Science in the United States: A Path Forward (2009). The report concluded that, apart from nuclear DNA analysis, no forensic method had been rigorously shown to consistently and with a high degree of certainty connect evidence to a specific individual or source. It recommended independence of crime laboratories from law enforcement and research on bias and error rates.</w:t>
      </w:r>
    </w:p>
    <w:p>
      <w:pPr>
        <w:pStyle w:val="ListParagraph"/>
        <w:numPr>
          <w:ilvl w:val="0"/>
          <w:numId w:val="1"/>
        </w:numPr>
        <w:spacing w:after="80"/>
      </w:pPr>
      <w:r>
        <w:t>President's Council of Advisors on Science and Technology, Forensic Science in Criminal Courts: Ensuring Scientific Validity of Feature-Comparison Methods (Sept. 2016). PCAST found that bite-mark analysis lacks foundational validity, that firearms analysis fell short given the limited number of appropriately designed studies, and that footwear analysis lacked validity for identifying a specific shoe. It recommended that error rates accompany testimony.</w:t>
      </w:r>
    </w:p>
    <w:p>
      <w:pPr>
        <w:pStyle w:val="Heading2"/>
        <w:spacing w:after="120" w:before="240"/>
      </w:pPr>
      <w:r>
        <w:rPr>
          <w:b/>
          <w:bCs/>
        </w:rPr>
        <w:t>Cognitive Bias</w:t>
      </w:r>
    </w:p>
    <w:p>
      <w:pPr>
        <w:pStyle w:val="ListParagraph"/>
        <w:numPr>
          <w:ilvl w:val="0"/>
          <w:numId w:val="1"/>
        </w:numPr>
        <w:spacing w:after="80"/>
      </w:pPr>
      <w:r>
        <w:t>Contextual information, such as knowledge that a suspect confessed or that other evidence points to guilt, can change forensic conclusions. Research by cognitive neuroscientist Itiel Dror showed experienced fingerprint examiners reaching different conclusions on their own prior casework when given different contextual information.</w:t>
      </w:r>
    </w:p>
    <w:p>
      <w:pPr>
        <w:pStyle w:val="ListParagraph"/>
        <w:numPr>
          <w:ilvl w:val="0"/>
          <w:numId w:val="1"/>
        </w:numPr>
        <w:spacing w:after="80"/>
      </w:pPr>
      <w:r>
        <w:t>Recommended safeguards include sequential unmasking (examining the questioned evidence before the known sample), blind verification, and limiting the case information given to analysts.</w:t>
      </w:r>
    </w:p>
    <w:p>
      <w:pPr>
        <w:pStyle w:val="Heading2"/>
        <w:spacing w:after="120" w:before="240"/>
      </w:pPr>
      <w:r>
        <w:rPr>
          <w:b/>
          <w:bCs/>
        </w:rPr>
        <w:t>Post-Conviction Relief</w:t>
      </w:r>
    </w:p>
    <w:p>
      <w:pPr>
        <w:pStyle w:val="ListParagraph"/>
        <w:numPr>
          <w:ilvl w:val="0"/>
          <w:numId w:val="1"/>
        </w:numPr>
        <w:spacing w:after="80"/>
      </w:pPr>
      <w:r>
        <w:t>Texas Code of Criminal Procedure art. 11.073 (enacted 2013, amended 2015). This statute allows habeas relief when relevant scientific evidence was not available at trial or contradicts scientific evidence the State relied on, including when the field's knowledge or the testifying expert's knowledge has changed. Without that evidence, the applicant must show by a preponderance that he or she would not have been convicted.</w:t>
      </w:r>
    </w:p>
    <w:p>
      <w:pPr>
        <w:pStyle w:val="ListParagraph"/>
        <w:numPr>
          <w:ilvl w:val="0"/>
          <w:numId w:val="1"/>
        </w:numPr>
        <w:spacing w:after="80"/>
      </w:pPr>
      <w:r>
        <w:t>Conviction integrity units, beginning with the Dallas County unit created under District Attorney Craig Watkins, can reinvestigate cases jointly with defense counsel and join motions for relief.</w:t>
      </w:r>
    </w:p>
    <w:p>
      <w:pPr>
        <w:pStyle w:val="ListParagraph"/>
        <w:numPr>
          <w:ilvl w:val="0"/>
          <w:numId w:val="1"/>
        </w:numPr>
        <w:spacing w:after="80"/>
      </w:pPr>
      <w:r>
        <w:t>Even without DNA evidence, relief may depend on a combination of factors: authoritative scientific critique, a discipline's own retreat from earlier claims, expert recantation, new investigation, and a statutory vehicle for changed-science claims.</w:t>
      </w:r>
    </w:p>
    <w:p>
      <w:pPr>
        <w:pStyle w:val="Heading2"/>
        <w:spacing w:after="120" w:before="240"/>
      </w:pPr>
      <w:r>
        <w:rPr>
          <w:b/>
          <w:bCs/>
        </w:rPr>
        <w:t>Reform</w:t>
      </w:r>
    </w:p>
    <w:p>
      <w:pPr>
        <w:pStyle w:val="ListParagraph"/>
        <w:numPr>
          <w:ilvl w:val="0"/>
          <w:numId w:val="1"/>
        </w:numPr>
        <w:spacing w:after="80"/>
      </w:pPr>
      <w:r>
        <w:t>Forensic science commissions, such as the Texas Forensic Science Commission (created 2005), investigate disciplines and individual cases outside the adversarial setting.</w:t>
      </w:r>
    </w:p>
    <w:p>
      <w:pPr>
        <w:pStyle w:val="ListParagraph"/>
        <w:numPr>
          <w:ilvl w:val="0"/>
          <w:numId w:val="1"/>
        </w:numPr>
        <w:spacing w:after="80"/>
      </w:pPr>
      <w:r>
        <w:t>Independent laboratories, such as the Houston Forensic Science Center, separate forensic analysis from police budgets and command and serve both prosecution and defense.</w:t>
      </w:r>
    </w:p>
    <w:p>
      <w:pPr>
        <w:pStyle w:val="ListParagraph"/>
        <w:numPr>
          <w:ilvl w:val="0"/>
          <w:numId w:val="1"/>
        </w:numPr>
        <w:spacing w:after="80"/>
      </w:pPr>
      <w:r>
        <w:t>National standards development through the National Institute of Standards and Technology and its Organization of Scientific Area Committees (OSAC).</w:t>
      </w:r>
    </w:p>
    <w:p>
      <w:pPr>
        <w:pStyle w:val="ListParagraph"/>
        <w:numPr>
          <w:ilvl w:val="0"/>
          <w:numId w:val="1"/>
        </w:numPr>
        <w:spacing w:after="80"/>
      </w:pPr>
      <w:r>
        <w:t>Validating methods before courtroom use, as is required for consumer products and drugs.</w:t>
      </w:r>
    </w:p>
    <w:p>
      <w:pPr>
        <w:pStyle w:val="Heading2"/>
        <w:spacing w:after="120" w:before="240"/>
      </w:pPr>
      <w:r>
        <w:rPr>
          <w:b/>
          <w:bCs/>
        </w:rPr>
        <w:t>Developments to Know</w:t>
      </w:r>
    </w:p>
    <w:p>
      <w:pPr>
        <w:pStyle w:val="ListParagraph"/>
        <w:numPr>
          <w:ilvl w:val="0"/>
          <w:numId w:val="1"/>
        </w:numPr>
        <w:spacing w:after="80"/>
      </w:pPr>
      <w:r>
        <w:t>Genrich murder charges dismissed (April 2026). After a 2023 new-trial order based on unreliable toolmark testimony, affirmed on appeal, Mesa County prosecutors moved to dismiss the 1993 murder charges, concluding that a retrial was no longer viable. Genrich remains in custody on separate explosive-device and assault convictions carrying a 72-year sentence.</w:t>
      </w:r>
    </w:p>
    <w:p>
      <w:pPr>
        <w:pStyle w:val="ListParagraph"/>
        <w:numPr>
          <w:ilvl w:val="0"/>
          <w:numId w:val="1"/>
        </w:numPr>
        <w:spacing w:after="80"/>
      </w:pPr>
      <w:r>
        <w:t>FRE 702 amendment (effective Dec. 1, 2023). The amendment clarifies that the proponent bears a preponderance burden on each admissibility requirement and that opinions must stay within what a reliable application of the method supports. Courts have cited it in limiting overstated forensic conclusions.</w:t>
      </w:r>
    </w:p>
    <w:p>
      <w:pPr>
        <w:pStyle w:val="ListParagraph"/>
        <w:numPr>
          <w:ilvl w:val="0"/>
          <w:numId w:val="1"/>
        </w:numPr>
        <w:spacing w:after="80"/>
      </w:pPr>
      <w:r>
        <w:t>Abruquah v. State (Md. 2023). Maryland's highest court barred unqualified firearms source-attribution testimony. Other courts have taken varying approaches, many admitting firearms evidence with limits on the certainty an examiner may express.</w:t>
      </w:r>
    </w:p>
    <w:p>
      <w:pPr>
        <w:pStyle w:val="ListParagraph"/>
        <w:numPr>
          <w:ilvl w:val="0"/>
          <w:numId w:val="1"/>
        </w:numPr>
        <w:spacing w:after="80"/>
      </w:pPr>
      <w:r>
        <w:t>Shaken baby syndrome under art. 11.073. The Texas Court of Criminal Appeals overturned Andrew Roark's conviction in 2024 on changed-science grounds. In October 2025 it stayed Robert Roberson's execution and remanded his changed-science claim to the trial court, where it remains pending as of 2026. The State continues to defend the conviction.</w:t>
      </w:r>
    </w:p>
    <w:p>
      <w:pPr>
        <w:pStyle w:val="ListParagraph"/>
        <w:numPr>
          <w:ilvl w:val="0"/>
          <w:numId w:val="1"/>
        </w:numPr>
        <w:spacing w:after="80"/>
      </w:pPr>
      <w:r>
        <w:t>Exoneration data. The Innocence Project counted 375 DNA exonerations in the United States through 2020 and reports that misapplied forensic science contributed to nearly half of them. The National Registry of Exonerations, covering all exonerations, attributes false or misleading forensic evidence to roughly a quarter of cases.</w:t>
      </w:r>
    </w:p>
    <w:p>
      <w:pPr>
        <w:pStyle w:val="ListParagraph"/>
        <w:numPr>
          <w:ilvl w:val="0"/>
          <w:numId w:val="1"/>
        </w:numPr>
        <w:spacing w:after="80"/>
      </w:pPr>
      <w:r>
        <w:t>FBI hair review. The FBI's 2015 report that erroneous statements appeared in at least 90 percent of reviewed trial transcripts prompted several states to begin their own reviews of microscopic hair testimony.</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