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Overachieving, Anxiety, &amp; Addiction</w:t>
      </w:r>
    </w:p>
    <w:p>
      <w:pPr>
        <w:spacing w:after="200"/>
      </w:pPr>
      <w:r>
        <w:rPr>
          <w:rFonts w:ascii="Montserrat" w:cs="Montserrat" w:eastAsia="Montserrat" w:hAnsi="Montserrat"/>
          <w:b/>
          <w:bCs/>
          <w:color w:val="E87722"/>
          <w:sz w:val="24"/>
          <w:szCs w:val="24"/>
        </w:rPr>
        <w:t xml:space="preserve">Lisa Smith</w:t>
      </w:r>
    </w:p>
    <w:p>
      <w:pPr>
        <w:pBdr>
          <w:bottom w:val="single" w:color="E87722" w:sz="6"/>
        </w:pBdr>
        <w:spacing w:after="300"/>
      </w:pPr>
    </w:p>
    <w:p>
      <w:pPr>
        <w:pStyle w:val="Heading2"/>
        <w:spacing w:after="120" w:before="240"/>
      </w:pPr>
      <w:r>
        <w:rPr>
          <w:b/>
          <w:bCs/>
        </w:rPr>
        <w:t xml:space="preserve">Overview</w:t>
      </w:r>
    </w:p>
    <w:p>
      <w:pPr>
        <w:spacing w:after="160"/>
      </w:pPr>
      <w:r>
        <w:t>This one-hour program examines substance use and mental health conditions in the legal profession through the first-person account of a lawyer in long-term recovery. It covers research on the prevalence of problematic drinking, depression, and anxiety among lawyers; risk factors in legal education and practice; the relationship between self-medication and co-occurring mental health conditions; warning signs of impairment and lawyers' ethical duties when they or colleagues are impaired. It then follows the lawyer from the decision to seek help through detoxification, early recovery, and long-term sobriety, examining voluntary psychiatric and detox admission, medical aspects of withdrawal and treatment, employment protections, confidentiality of treatment records, disclosure at work, and practical measures legal employers can take to support well-being and reduce alcohol-centered culture.</w:t>
      </w:r>
    </w:p>
    <w:p>
      <w:pPr>
        <w:pStyle w:val="Heading2"/>
        <w:spacing w:after="120" w:before="240"/>
      </w:pPr>
      <w:r>
        <w:rPr>
          <w:b/>
          <w:bCs/>
        </w:rPr>
        <w:t xml:space="preserve">Learning Objectives</w:t>
      </w:r>
    </w:p>
    <w:p>
      <w:pPr>
        <w:pStyle w:val="ListParagraph"/>
        <w:numPr>
          <w:ilvl w:val="0"/>
          <w:numId w:val="1"/>
        </w:numPr>
        <w:spacing w:after="80"/>
      </w:pPr>
      <w:r>
        <w:t xml:space="preserve">Summarize major research findings on substance use and mental health among lawyers and law students.</w:t>
      </w:r>
    </w:p>
    <w:p>
      <w:pPr>
        <w:pStyle w:val="ListParagraph"/>
        <w:numPr>
          <w:ilvl w:val="0"/>
          <w:numId w:val="1"/>
        </w:numPr>
        <w:spacing w:after="80"/>
      </w:pPr>
      <w:r>
        <w:t xml:space="preserve">Identify professional and cultural risk factors that contribute to these conditions.</w:t>
      </w:r>
    </w:p>
    <w:p>
      <w:pPr>
        <w:pStyle w:val="ListParagraph"/>
        <w:numPr>
          <w:ilvl w:val="0"/>
          <w:numId w:val="1"/>
        </w:numPr>
        <w:spacing w:after="80"/>
      </w:pPr>
      <w:r>
        <w:t xml:space="preserve">Recognize behavioral warning signs of impairment in oneself and colleagues.</w:t>
      </w:r>
    </w:p>
    <w:p>
      <w:pPr>
        <w:pStyle w:val="ListParagraph"/>
        <w:numPr>
          <w:ilvl w:val="0"/>
          <w:numId w:val="1"/>
        </w:numPr>
        <w:spacing w:after="80"/>
      </w:pPr>
      <w:r>
        <w:t xml:space="preserve">Explain the ethical obligations implicated by lawyer impairment, including competence, diligence, supervision, withdrawal, and reporting.</w:t>
      </w:r>
    </w:p>
    <w:p>
      <w:pPr>
        <w:pStyle w:val="ListParagraph"/>
        <w:numPr>
          <w:ilvl w:val="0"/>
          <w:numId w:val="1"/>
        </w:numPr>
        <w:spacing w:after="80"/>
      </w:pPr>
      <w:r>
        <w:t xml:space="preserve">Identify confidential resources, including Lawyer Assistance Programs.</w:t>
      </w:r>
    </w:p>
    <w:p>
      <w:pPr>
        <w:pStyle w:val="ListParagraph"/>
        <w:numPr>
          <w:ilvl w:val="0"/>
          <w:numId w:val="1"/>
        </w:numPr>
        <w:spacing w:after="80"/>
      </w:pPr>
      <w:r>
        <w:t xml:space="preserve">Describe the voluntary admission and retention process for inpatient psychiatric and detox treatment.</w:t>
      </w:r>
    </w:p>
    <w:p>
      <w:pPr>
        <w:pStyle w:val="ListParagraph"/>
        <w:numPr>
          <w:ilvl w:val="0"/>
          <w:numId w:val="1"/>
        </w:numPr>
        <w:spacing w:after="80"/>
      </w:pPr>
      <w:r>
        <w:t xml:space="preserve">Explain the medical risks of alcohol withdrawal and the role of medically supervised detox and medications for addiction treatment.</w:t>
      </w:r>
    </w:p>
    <w:p>
      <w:pPr>
        <w:pStyle w:val="ListParagraph"/>
        <w:numPr>
          <w:ilvl w:val="0"/>
          <w:numId w:val="1"/>
        </w:numPr>
        <w:spacing w:after="80"/>
      </w:pPr>
      <w:r>
        <w:t xml:space="preserve">Identify protections under the FMLA and ADA for employees seeking treatment, and their limits.</w:t>
      </w:r>
    </w:p>
    <w:p>
      <w:pPr>
        <w:pStyle w:val="ListParagraph"/>
        <w:numPr>
          <w:ilvl w:val="0"/>
          <w:numId w:val="1"/>
        </w:numPr>
        <w:spacing w:after="80"/>
      </w:pPr>
      <w:r>
        <w:t xml:space="preserve">Apply confidentiality rules governing substance use disorder treatment records and lawyer assistance programs.</w:t>
      </w:r>
    </w:p>
    <w:p>
      <w:pPr>
        <w:pStyle w:val="ListParagraph"/>
        <w:numPr>
          <w:ilvl w:val="0"/>
          <w:numId w:val="1"/>
        </w:numPr>
        <w:spacing w:after="80"/>
      </w:pPr>
      <w:r>
        <w:t xml:space="preserve">Implement employer practices that reduce stigma and support well-being.</w:t>
      </w:r>
    </w:p>
    <w:p>
      <w:pPr>
        <w:pStyle w:val="Heading2"/>
        <w:spacing w:after="120" w:before="240"/>
      </w:pPr>
      <w:r>
        <w:rPr>
          <w:b/>
          <w:bCs/>
        </w:rPr>
        <w:t xml:space="preserve">The Research</w:t>
      </w:r>
    </w:p>
    <w:p>
      <w:pPr>
        <w:spacing w:after="160"/>
      </w:pPr>
      <w:r>
        <w:t xml:space="preserve">The 2016 study conducted by the Hazelden Betty Ford Foundation and the ABA Commission on Lawyer Assistance Programs surveyed nearly 13,000 practicing attorneys. Patrick R. Krill, Ryan Johnson &amp; Linda Albert,</w:t>
      </w:r>
      <w:r>
        <w:rPr>
          <w:i/>
          <w:iCs/>
        </w:rPr>
        <w:t xml:space="preserve">The Prevalence of Substance Use and Other Mental Health Concerns Among American Attorneys</w:t>
      </w:r>
      <w:r>
        <w:t xml:space="preserve">, 10 J. Addiction Med. 46 (2016). Key findings:</w:t>
      </w:r>
    </w:p>
    <w:p>
      <w:pPr>
        <w:pStyle w:val="ListParagraph"/>
        <w:numPr>
          <w:ilvl w:val="0"/>
          <w:numId w:val="1"/>
        </w:numPr>
        <w:spacing w:after="80"/>
      </w:pPr>
      <w:r>
        <w:t xml:space="preserve">About 20.6 percent screened positive for hazardous, harmful, or potentially alcohol-dependent drinking (AUDIT), a rate substantially higher than in other highly educated professions.</w:t>
      </w:r>
    </w:p>
    <w:p>
      <w:pPr>
        <w:pStyle w:val="ListParagraph"/>
        <w:numPr>
          <w:ilvl w:val="0"/>
          <w:numId w:val="1"/>
        </w:numPr>
        <w:spacing w:after="80"/>
      </w:pPr>
      <w:r>
        <w:t xml:space="preserve">About 28 percent reported symptoms of depression, 19 percent anxiety, and 23 percent stress.</w:t>
      </w:r>
    </w:p>
    <w:p>
      <w:pPr>
        <w:pStyle w:val="ListParagraph"/>
        <w:numPr>
          <w:ilvl w:val="0"/>
          <w:numId w:val="1"/>
        </w:numPr>
        <w:spacing w:after="80"/>
      </w:pPr>
      <w:r>
        <w:t xml:space="preserve">Problematic drinking was most prevalent among lawyers in their first ten years of practice and among younger lawyers.</w:t>
      </w:r>
    </w:p>
    <w:p>
      <w:pPr>
        <w:pStyle w:val="ListParagraph"/>
        <w:numPr>
          <w:ilvl w:val="0"/>
          <w:numId w:val="1"/>
        </w:numPr>
        <w:spacing w:after="80"/>
      </w:pPr>
      <w:r>
        <w:t xml:space="preserve">Fear of others finding out and concerns about confidentiality were the most common barriers to seeking help.</w:t>
      </w:r>
    </w:p>
    <w:p>
      <w:pPr>
        <w:spacing w:after="160"/>
      </w:pPr>
      <w:r>
        <w:t xml:space="preserve">A companion survey of law students found similar concerns about drinking, anxiety, and reluctance to seek help because of bar admission concerns. Jerome M. Organ, David B. Jaffe &amp; Katherine M. Bender,</w:t>
      </w:r>
      <w:r>
        <w:rPr>
          <w:i/>
          <w:iCs/>
        </w:rPr>
        <w:t xml:space="preserve">Suffering in Silence: The Survey of Law Student Well-Being and the Reluctance of Law Students to Seek Help for Substance Use and Mental Health Concerns</w:t>
      </w:r>
      <w:r>
        <w:t xml:space="preserve">, 66 J. Legal Educ. 116 (2016).</w:t>
      </w:r>
    </w:p>
    <w:p>
      <w:pPr>
        <w:pStyle w:val="Heading2"/>
        <w:spacing w:after="120" w:before="240"/>
      </w:pPr>
      <w:r>
        <w:rPr>
          <w:b/>
          <w:bCs/>
        </w:rPr>
        <w:t xml:space="preserve">Risk Factors</w:t>
      </w:r>
    </w:p>
    <w:p>
      <w:pPr>
        <w:pStyle w:val="ListParagraph"/>
        <w:numPr>
          <w:ilvl w:val="0"/>
          <w:numId w:val="1"/>
        </w:numPr>
        <w:spacing w:after="80"/>
      </w:pPr>
      <w:r>
        <w:t xml:space="preserve">Competitive grading and hiring structures beginning in law school.</w:t>
      </w:r>
    </w:p>
    <w:p>
      <w:pPr>
        <w:pStyle w:val="ListParagraph"/>
        <w:numPr>
          <w:ilvl w:val="0"/>
          <w:numId w:val="1"/>
        </w:numPr>
        <w:spacing w:after="80"/>
      </w:pPr>
      <w:r>
        <w:t xml:space="preserve">Educational debt and financial pressure.</w:t>
      </w:r>
    </w:p>
    <w:p>
      <w:pPr>
        <w:pStyle w:val="ListParagraph"/>
        <w:numPr>
          <w:ilvl w:val="0"/>
          <w:numId w:val="1"/>
        </w:numPr>
        <w:spacing w:after="80"/>
      </w:pPr>
      <w:r>
        <w:t xml:space="preserve">Long hours, billable-hour pressure, and constant availability.</w:t>
      </w:r>
    </w:p>
    <w:p>
      <w:pPr>
        <w:pStyle w:val="ListParagraph"/>
        <w:numPr>
          <w:ilvl w:val="0"/>
          <w:numId w:val="1"/>
        </w:numPr>
        <w:spacing w:after="80"/>
      </w:pPr>
      <w:r>
        <w:t xml:space="preserve">A professional culture valuing invulnerability and perfectionism, with drinking built into social and client events.</w:t>
      </w:r>
    </w:p>
    <w:p>
      <w:pPr>
        <w:pStyle w:val="ListParagraph"/>
        <w:numPr>
          <w:ilvl w:val="0"/>
          <w:numId w:val="1"/>
        </w:numPr>
        <w:spacing w:after="80"/>
      </w:pPr>
      <w:r>
        <w:t xml:space="preserve">Co-occurring conditions: substance use frequently accompanies depression and anxiety, and people may use alcohol or drugs to manage untreated symptoms.</w:t>
      </w:r>
    </w:p>
    <w:p>
      <w:pPr>
        <w:pStyle w:val="Heading2"/>
        <w:spacing w:after="120" w:before="240"/>
      </w:pPr>
      <w:r>
        <w:rPr>
          <w:b/>
          <w:bCs/>
        </w:rPr>
        <w:t xml:space="preserve">Recognizing Impairment</w:t>
      </w:r>
    </w:p>
    <w:p>
      <w:pPr>
        <w:spacing w:after="160"/>
      </w:pPr>
      <w:r>
        <w:t xml:space="preserve">Impairment often shows up as change rather than a single event: altered work patterns such as late arrivals, unexplained absences, or missed deadlines; withdrawal from colleagues, friends, and family; changes in appearance or hygiene; mood swings; and unexplained financial problems. High-functioning periods can mask a progressive condition. Colleagues and family members frequently rationalize warning signs.</w:t>
      </w:r>
    </w:p>
    <w:p>
      <w:pPr>
        <w:pStyle w:val="Heading2"/>
        <w:spacing w:after="120" w:before="240"/>
      </w:pPr>
      <w:r>
        <w:rPr>
          <w:b/>
          <w:bCs/>
        </w:rPr>
        <w:t xml:space="preserve">Ethical Duties</w:t>
      </w:r>
    </w:p>
    <w:p>
      <w:pPr>
        <w:pStyle w:val="ListParagraph"/>
        <w:numPr>
          <w:ilvl w:val="0"/>
          <w:numId w:val="1"/>
        </w:numPr>
        <w:spacing w:after="80"/>
      </w:pPr>
      <w:r>
        <w:rPr>
          <w:b/>
          <w:bCs/>
        </w:rPr>
        <w:t xml:space="preserve">Competence and diligence.</w:t>
      </w:r>
      <w:r>
        <w:t xml:space="preserve">Model Rules 1.1 and 1.3. Impairment can compromise the thoroughness, preparation, and promptness clients are owed.</w:t>
      </w:r>
    </w:p>
    <w:p>
      <w:pPr>
        <w:pStyle w:val="ListParagraph"/>
        <w:numPr>
          <w:ilvl w:val="0"/>
          <w:numId w:val="1"/>
        </w:numPr>
        <w:spacing w:after="80"/>
      </w:pPr>
      <w:r>
        <w:rPr>
          <w:b/>
          <w:bCs/>
        </w:rPr>
        <w:t xml:space="preserve">Withdrawal.</w:t>
      </w:r>
      <w:r>
        <w:t xml:space="preserve">A lawyer must withdraw if "the lawyer's physical or mental condition materially impairs the lawyer's ability to represent the client." Model Rule 1.16(a)(2).</w:t>
      </w:r>
    </w:p>
    <w:p>
      <w:pPr>
        <w:pStyle w:val="ListParagraph"/>
        <w:numPr>
          <w:ilvl w:val="0"/>
          <w:numId w:val="1"/>
        </w:numPr>
        <w:spacing w:after="80"/>
      </w:pPr>
      <w:r>
        <w:rPr>
          <w:b/>
          <w:bCs/>
        </w:rPr>
        <w:t xml:space="preserve">Supervision.</w:t>
      </w:r>
      <w:r>
        <w:t xml:space="preserve">Partners and supervising lawyers must make reasonable efforts to ensure that firm lawyers comply with the Rules, and may need to act when a colleague is impaired. Model Rules 5.1 and 5.2. See ABA Formal Op. 03-429 (2003) (obligations of a firm when a lawyer is impaired).</w:t>
      </w:r>
    </w:p>
    <w:p>
      <w:pPr>
        <w:pStyle w:val="ListParagraph"/>
        <w:numPr>
          <w:ilvl w:val="0"/>
          <w:numId w:val="1"/>
        </w:numPr>
        <w:spacing w:after="80"/>
      </w:pPr>
      <w:r>
        <w:rPr>
          <w:b/>
          <w:bCs/>
        </w:rPr>
        <w:t xml:space="preserve">Reporting.</w:t>
      </w:r>
      <w:r>
        <w:t xml:space="preserve">Rule 8.3(a) requires reporting another lawyer's violation that raises a substantial question as to honesty, trustworthiness, or fitness. Rule 8.3(c) exempts information gained while participating in an approved lawyers or judges assistance program.</w:t>
      </w:r>
    </w:p>
    <w:p>
      <w:pPr>
        <w:pStyle w:val="ListParagraph"/>
        <w:numPr>
          <w:ilvl w:val="0"/>
          <w:numId w:val="1"/>
        </w:numPr>
        <w:spacing w:after="80"/>
      </w:pPr>
      <w:r>
        <w:rPr>
          <w:b/>
          <w:bCs/>
        </w:rPr>
        <w:t xml:space="preserve">Client protection.</w:t>
      </w:r>
      <w:r>
        <w:t xml:space="preserve">Firms should have plans to protect client matters, including coverage and succession, when a lawyer becomes unavailable.</w:t>
      </w:r>
    </w:p>
    <w:p>
      <w:pPr>
        <w:pStyle w:val="Heading2"/>
        <w:spacing w:after="120" w:before="240"/>
      </w:pPr>
      <w:r>
        <w:rPr>
          <w:b/>
          <w:bCs/>
        </w:rPr>
        <w:t xml:space="preserve">Resources</w:t>
      </w:r>
    </w:p>
    <w:p>
      <w:pPr>
        <w:spacing w:after="160"/>
      </w:pPr>
      <w:r>
        <w:t xml:space="preserve">Every state has a Lawyer Assistance Program (LAP) offering confidential assessment, referral, peer support, and monitoring. The ABA Commission on Lawyer Assistance Programs maintains a national directory. Many employers provide employee assistance programs (EAPs). The 988 Suicide &amp; Crisis Lifeline provides 24-hour support, and SAMHSA's National Helpline (1-800-662-4357) provides treatment referrals.</w:t>
      </w:r>
    </w:p>
    <w:p>
      <w:pPr>
        <w:pStyle w:val="Heading2"/>
        <w:spacing w:after="120" w:before="240"/>
      </w:pPr>
      <w:r>
        <w:rPr>
          <w:b/>
          <w:bCs/>
        </w:rPr>
        <w:t xml:space="preserve">Voluntary Admission and the 72-Hour Rule</w:t>
      </w:r>
    </w:p>
    <w:p>
      <w:pPr>
        <w:spacing w:after="160"/>
      </w:pPr>
      <w:r>
        <w:t xml:space="preserve">Many states permit voluntary inpatient admission subject to a notice period before discharge. Under New York Mental Hygiene Law § 9.13, a voluntary patient who gives written notice of a desire to leave must be released unless, within 72 hours, the facility director applies to court for authorization to retain the patient involuntarily. Patients should receive notice of their rights, including the right to counsel through the Mental Hygiene Legal Service. Mental Hyg. Law § 47.03. Lawyers advising clients or colleagues should understand these procedures before admission.</w:t>
      </w:r>
    </w:p>
    <w:p>
      <w:pPr>
        <w:pStyle w:val="Heading2"/>
        <w:spacing w:after="120" w:before="240"/>
      </w:pPr>
      <w:r>
        <w:rPr>
          <w:b/>
          <w:bCs/>
        </w:rPr>
        <w:t xml:space="preserve">Medical Aspects of Treatment</w:t>
      </w:r>
    </w:p>
    <w:p>
      <w:pPr>
        <w:pStyle w:val="ListParagraph"/>
        <w:numPr>
          <w:ilvl w:val="0"/>
          <w:numId w:val="1"/>
        </w:numPr>
        <w:spacing w:after="80"/>
      </w:pPr>
      <w:r>
        <w:rPr>
          <w:b/>
          <w:bCs/>
        </w:rPr>
        <w:t xml:space="preserve">Alcohol withdrawal</w:t>
      </w:r>
      <w:r>
        <w:t xml:space="preserve">can cause seizures and delirium tremens and can be life-threatening. Medically supervised detox commonly uses benzodiazepines such as chlordiazepoxide (Librium) to prevent complications.</w:t>
      </w:r>
    </w:p>
    <w:p>
      <w:pPr>
        <w:pStyle w:val="ListParagraph"/>
        <w:numPr>
          <w:ilvl w:val="0"/>
          <w:numId w:val="1"/>
        </w:numPr>
        <w:spacing w:after="80"/>
      </w:pPr>
      <w:r>
        <w:rPr>
          <w:b/>
          <w:bCs/>
        </w:rPr>
        <w:t xml:space="preserve">Co-occurring disorders.</w:t>
      </w:r>
      <w:r>
        <w:t xml:space="preserve">Integrated treatment of substance use and mental health conditions, such as depression and anxiety, improves outcomes.</w:t>
      </w:r>
    </w:p>
    <w:p>
      <w:pPr>
        <w:pStyle w:val="ListParagraph"/>
        <w:numPr>
          <w:ilvl w:val="0"/>
          <w:numId w:val="1"/>
        </w:numPr>
        <w:spacing w:after="80"/>
      </w:pPr>
      <w:r>
        <w:rPr>
          <w:b/>
          <w:bCs/>
        </w:rPr>
        <w:t xml:space="preserve">Levels of care</w:t>
      </w:r>
      <w:r>
        <w:t xml:space="preserve">range from inpatient and residential treatment to intensive outpatient programs (IOP) and outpatient counseling, with mutual-support groups such as 12-step programs and other recovery communities.</w:t>
      </w:r>
    </w:p>
    <w:p>
      <w:pPr>
        <w:pStyle w:val="ListParagraph"/>
        <w:numPr>
          <w:ilvl w:val="0"/>
          <w:numId w:val="1"/>
        </w:numPr>
        <w:spacing w:after="80"/>
      </w:pPr>
      <w:r>
        <w:rPr>
          <w:b/>
          <w:bCs/>
        </w:rPr>
        <w:t xml:space="preserve">Medications for alcohol use disorder</w:t>
      </w:r>
      <w:r>
        <w:t xml:space="preserve">include naltrexone, acamprosate, and disulfiram. For opioid use disorder, the federal "X-waiver" requirement for prescribing buprenorphine was eliminated by the Consolidated Appropriations Act, 2023.</w:t>
      </w:r>
    </w:p>
    <w:p>
      <w:pPr>
        <w:pStyle w:val="Heading2"/>
        <w:spacing w:after="120" w:before="240"/>
      </w:pPr>
      <w:r>
        <w:rPr>
          <w:b/>
          <w:bCs/>
        </w:rPr>
        <w:t xml:space="preserve">Employment Protections</w:t>
      </w:r>
    </w:p>
    <w:p>
      <w:pPr>
        <w:pStyle w:val="ListParagraph"/>
        <w:numPr>
          <w:ilvl w:val="0"/>
          <w:numId w:val="1"/>
        </w:numPr>
        <w:spacing w:after="80"/>
      </w:pPr>
      <w:r>
        <w:rPr>
          <w:b/>
          <w:bCs/>
        </w:rPr>
        <w:t xml:space="preserve">FMLA.</w:t>
      </w:r>
      <w:r>
        <w:t xml:space="preserve">Eligible employees may take unpaid, job-protected leave for substance use treatment provided by a health care provider. Absence due to use of the substance itself, as opposed to treatment, is not protected. 29 C.F.R. § 825.119.</w:t>
      </w:r>
    </w:p>
    <w:p>
      <w:pPr>
        <w:pStyle w:val="ListParagraph"/>
        <w:numPr>
          <w:ilvl w:val="0"/>
          <w:numId w:val="1"/>
        </w:numPr>
        <w:spacing w:after="80"/>
      </w:pPr>
      <w:r>
        <w:rPr>
          <w:b/>
          <w:bCs/>
        </w:rPr>
        <w:t xml:space="preserve">ADA.</w:t>
      </w:r>
      <w:r>
        <w:t xml:space="preserve">Alcoholism may be a disability. Employees who are no longer engaging in illegal drug use and are in or have completed rehabilitation are protected, but current illegal drug use is not. 42 U.S.C. § 12114. Employers may hold employees with alcoholism to the same performance and conduct standards as others. Reasonable accommodations may include leave or schedule modifications for treatment.</w:t>
      </w:r>
    </w:p>
    <w:p>
      <w:pPr>
        <w:pStyle w:val="ListParagraph"/>
        <w:numPr>
          <w:ilvl w:val="0"/>
          <w:numId w:val="1"/>
        </w:numPr>
        <w:spacing w:after="80"/>
      </w:pPr>
      <w:r>
        <w:rPr>
          <w:b/>
          <w:bCs/>
        </w:rPr>
        <w:t xml:space="preserve">Return to work.</w:t>
      </w:r>
      <w:r>
        <w:t xml:space="preserve">Firms should adopt confidential return-to-work protocols, which may include monitoring agreements coordinated with a Lawyer Assistance Program.</w:t>
      </w:r>
    </w:p>
    <w:p>
      <w:pPr>
        <w:pStyle w:val="Heading2"/>
        <w:spacing w:after="120" w:before="240"/>
      </w:pPr>
      <w:r>
        <w:rPr>
          <w:b/>
          <w:bCs/>
        </w:rPr>
        <w:t xml:space="preserve">Confidentiality</w:t>
      </w:r>
    </w:p>
    <w:p>
      <w:pPr>
        <w:spacing w:after="160"/>
      </w:pPr>
      <w:r>
        <w:t xml:space="preserve">Records of federally assisted substance use disorder treatment programs are protected by 42 U.S.C. § 290dd-2 and 42 C.F.R. Part 2. A 2024 final rule aligned Part 2 more closely with HIPAA while retaining limits on use of such records in proceedings against the patient. ABA Model Rule 8.3(c) protects information learned through lawyer assistance programs from lawyers' reporting obligations, and many states grant LAP communications statutory or rule-based confidentiality.</w:t>
      </w:r>
    </w:p>
    <w:p>
      <w:pPr>
        <w:pStyle w:val="Heading2"/>
        <w:spacing w:after="120" w:before="240"/>
      </w:pPr>
      <w:r>
        <w:rPr>
          <w:b/>
          <w:bCs/>
        </w:rPr>
        <w:t xml:space="preserve">Disclosure at Work</w:t>
      </w:r>
    </w:p>
    <w:p>
      <w:pPr>
        <w:spacing w:after="160"/>
      </w:pPr>
      <w:r>
        <w:t xml:space="preserve">Whether and when to disclose recovery is a personal decision. Considerations include stability in early recovery, workplace culture, legal protections, and whether accommodations are needed. Employers can make disclosure safer by treating mental health and substance use leave like other medical leave, training managers, and showing leadership support. Public accounts by senior lawyers in recovery have helped normalize seeking help.</w:t>
      </w:r>
    </w:p>
    <w:p>
      <w:pPr>
        <w:pStyle w:val="Heading2"/>
        <w:spacing w:after="120" w:before="240"/>
      </w:pPr>
      <w:r>
        <w:rPr>
          <w:b/>
          <w:bCs/>
        </w:rPr>
        <w:t xml:space="preserve">Rethinking Alcohol in Legal Culture</w:t>
      </w:r>
    </w:p>
    <w:p>
      <w:pPr>
        <w:pStyle w:val="ListParagraph"/>
        <w:numPr>
          <w:ilvl w:val="0"/>
          <w:numId w:val="1"/>
        </w:numPr>
        <w:spacing w:after="80"/>
      </w:pPr>
      <w:r>
        <w:t xml:space="preserve">Offer appealing non-alcoholic options at every event, such as a "signature mocktail," and plan activities not centered on drinking.</w:t>
      </w:r>
    </w:p>
    <w:p>
      <w:pPr>
        <w:pStyle w:val="ListParagraph"/>
        <w:numPr>
          <w:ilvl w:val="0"/>
          <w:numId w:val="1"/>
        </w:numPr>
        <w:spacing w:after="80"/>
      </w:pPr>
      <w:r>
        <w:t xml:space="preserve">Limit open bars, use drink tickets, and end events at reasonable hours. This reduces risks of impaired driving, harassment, and other misconduct, and the potential employer and social-host liability that follows.</w:t>
      </w:r>
    </w:p>
    <w:p>
      <w:pPr>
        <w:pStyle w:val="ListParagraph"/>
        <w:numPr>
          <w:ilvl w:val="0"/>
          <w:numId w:val="1"/>
        </w:numPr>
        <w:spacing w:after="80"/>
      </w:pPr>
      <w:r>
        <w:t xml:space="preserve">Do not require or pressure attendance at alcohol-focused events, especially for junior lawyers and summer associates.</w:t>
      </w:r>
    </w:p>
    <w:p>
      <w:pPr>
        <w:pStyle w:val="Heading2"/>
        <w:spacing w:after="120" w:before="240"/>
      </w:pPr>
      <w:r>
        <w:rPr>
          <w:b/>
          <w:bCs/>
        </w:rPr>
        <w:t xml:space="preserve">Developments to Know</w:t>
      </w:r>
    </w:p>
    <w:p>
      <w:pPr>
        <w:pStyle w:val="ListParagraph"/>
        <w:numPr>
          <w:ilvl w:val="0"/>
          <w:numId w:val="1"/>
        </w:numPr>
        <w:spacing w:after="80"/>
      </w:pPr>
      <w:r>
        <w:rPr>
          <w:b/>
          <w:bCs/>
        </w:rPr>
        <w:t xml:space="preserve">2026 national study.</w:t>
      </w:r>
      <w:r>
        <w:t xml:space="preserve">A September 2026 study by the ABA Commission on Lawyer Assistance Programs and Krill Strategies, surveying about 37,000 lawyers in 28 jurisdictions, found high burnout in 47 percent of respondents, risky drinking in about 42 percent, and depression and anxiety in roughly one in five, with younger lawyers at greatest risk.</w:t>
      </w:r>
    </w:p>
    <w:p>
      <w:pPr>
        <w:pStyle w:val="ListParagraph"/>
        <w:numPr>
          <w:ilvl w:val="0"/>
          <w:numId w:val="1"/>
        </w:numPr>
        <w:spacing w:after="80"/>
      </w:pPr>
      <w:r>
        <w:rPr>
          <w:b/>
          <w:bCs/>
        </w:rPr>
        <w:t xml:space="preserve">Dietary Guidelines (Jan. 2026).</w:t>
      </w:r>
      <w:r>
        <w:t xml:space="preserve">The 2025–2030 Dietary Guidelines for Americans dropped numeric daily drink limits in favor of general advice to consume less alcohol, a change some health groups criticized as a step back from the Surgeon General's 2025 cancer-risk advisory.</w:t>
      </w:r>
    </w:p>
    <w:p>
      <w:pPr>
        <w:pStyle w:val="ListParagraph"/>
        <w:numPr>
          <w:ilvl w:val="0"/>
          <w:numId w:val="1"/>
        </w:numPr>
        <w:spacing w:after="80"/>
      </w:pPr>
      <w:r>
        <w:rPr>
          <w:b/>
          <w:bCs/>
          <w:i/>
        </w:rPr>
        <w:t>The Path to Lawyer Well-Being</w:t>
      </w:r>
      <w:r>
        <w:t xml:space="preserve">(National Task Force on Lawyer Well-Being, Aug. 2017) recommended stakeholder-specific actions for employers, courts, regulators, bar associations, and law schools, beginning with reducing stigma.</w:t>
      </w:r>
    </w:p>
    <w:p>
      <w:pPr>
        <w:pStyle w:val="ListParagraph"/>
        <w:numPr>
          <w:ilvl w:val="0"/>
          <w:numId w:val="1"/>
        </w:numPr>
        <w:spacing w:after="80"/>
      </w:pPr>
      <w:r>
        <w:rPr>
          <w:b/>
          <w:bCs/>
        </w:rPr>
        <w:t xml:space="preserve">ABA Well-Being Pledge</w:t>
      </w:r>
      <w:r>
        <w:t xml:space="preserve">(2018). Signatory legal employers commit to a seven-point framework, including challenging alcohol-centered events, partnering with outside providers, providing confidential access to help, and developing return-to-work protocols.</w:t>
      </w:r>
    </w:p>
    <w:p>
      <w:pPr>
        <w:pStyle w:val="ListParagraph"/>
        <w:numPr>
          <w:ilvl w:val="0"/>
          <w:numId w:val="1"/>
        </w:numPr>
        <w:spacing w:after="80"/>
      </w:pPr>
      <w:r>
        <w:rPr>
          <w:b/>
          <w:bCs/>
        </w:rPr>
        <w:t xml:space="preserve">Later research.</w:t>
      </w:r>
      <w:r>
        <w:t xml:space="preserve">A 2021 study of lawyers in California and the District of Columbia by Krill and colleagues found high rates of hazardous drinking, stress, and depression, with women reporting worse outcomes on several measures and many lawyers considering leaving the profession because of stress or burnout.</w:t>
      </w:r>
    </w:p>
    <w:p>
      <w:pPr>
        <w:pStyle w:val="ListParagraph"/>
        <w:numPr>
          <w:ilvl w:val="0"/>
          <w:numId w:val="1"/>
        </w:numPr>
        <w:spacing w:after="80"/>
      </w:pPr>
      <w:r>
        <w:rPr>
          <w:b/>
          <w:bCs/>
        </w:rPr>
        <w:t xml:space="preserve">Bar admission.</w:t>
      </w:r>
      <w:r>
        <w:t xml:space="preserve">Consistent with ABA Resolution 102 (2015), many jurisdictions, including New York (2020), have removed or narrowed character and fitness questions about mental health diagnosis or treatment, focusing instead on conduct.</w:t>
      </w:r>
    </w:p>
    <w:p>
      <w:pPr>
        <w:pStyle w:val="ListParagraph"/>
        <w:numPr>
          <w:ilvl w:val="0"/>
          <w:numId w:val="1"/>
        </w:numPr>
        <w:spacing w:after="80"/>
      </w:pPr>
      <w:r>
        <w:rPr>
          <w:b/>
          <w:bCs/>
        </w:rPr>
        <w:t xml:space="preserve">CLE requirements.</w:t>
      </w:r>
      <w:r>
        <w:t xml:space="preserve">A number of states require CLE on mental health and substance use or on competence issues, for example California's competence issues requirement and Illinois's mental health and substance use requirement.</w:t>
      </w:r>
    </w:p>
    <w:p>
      <w:pPr>
        <w:pStyle w:val="ListParagraph"/>
        <w:numPr>
          <w:ilvl w:val="0"/>
          <w:numId w:val="1"/>
        </w:numPr>
        <w:spacing w:after="80"/>
      </w:pPr>
      <w:r>
        <w:rPr>
          <w:b/>
          <w:bCs/>
        </w:rPr>
        <w:t xml:space="preserve">Alcohol and health.</w:t>
      </w:r>
      <w:r>
        <w:t xml:space="preserve">The U.S. Surgeon General's January 2025 advisory on alcohol and cancer risk called for updated warning labels and greater public awareness.</w:t>
      </w:r>
    </w:p>
    <w:p>
      <w:pPr>
        <w:pStyle w:val="ListParagraph"/>
        <w:numPr>
          <w:ilvl w:val="0"/>
          <w:numId w:val="1"/>
        </w:numPr>
        <w:spacing w:after="80"/>
      </w:pPr>
      <w:r>
        <w:rPr>
          <w:b/>
          <w:bCs/>
        </w:rPr>
        <w:t xml:space="preserve">Well-being infrastructure.</w:t>
      </w:r>
      <w:r>
        <w:t xml:space="preserve">The ABA Well-Being Pledge (2018) and the Well-Being Toolkit for Lawyers and Legal Employers (2018) have been adopted by hundreds of employers. The profession now observes an annual Well-Being Week in Law, and many firms have well-being directors and expanded mental health benefits.</w:t>
      </w:r>
    </w:p>
    <w:p>
      <w:pPr>
        <w:pStyle w:val="ListParagraph"/>
        <w:numPr>
          <w:ilvl w:val="0"/>
          <w:numId w:val="1"/>
        </w:numPr>
        <w:spacing w:after="80"/>
      </w:pPr>
      <w:r>
        <w:rPr>
          <w:b/>
          <w:bCs/>
        </w:rPr>
        <w:t xml:space="preserve">Lawyer discipline and diversion.</w:t>
      </w:r>
      <w:r>
        <w:t xml:space="preserve">Many states offer discipline diversion or conditional admission programs that emphasize treatment and monitoring for conduct linked to substance use or mental health conditions.</w:t>
      </w:r>
    </w:p>
    <w:p>
      <w:pPr>
        <w:pStyle w:val="ListParagraph"/>
        <w:numPr>
          <w:ilvl w:val="0"/>
          <w:numId w:val="1"/>
        </w:numPr>
        <w:spacing w:after="80"/>
      </w:pPr>
      <w:r>
        <w:rPr>
          <w:b/>
          <w:bCs/>
        </w:rPr>
        <w:t xml:space="preserve">Crisis support.</w:t>
      </w:r>
      <w:r>
        <w:t xml:space="preserve">The 988 Suicide &amp; Crisis Lifeline (launched July 2022) provides 24/7 call, text, and chat support. State Lawyer Assistance Programs provide confidential help to lawyers, judges, and law students.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2026-09-28T18:12:35.506Z</dcterms:created>
  <dcterms:modified xsi:type="dcterms:W3CDTF">2026-09-28T18:12:35.506Z</dcterms:modified>
</cp:coreProperties>
</file>

<file path=docProps/custom.xml><?xml version="1.0" encoding="utf-8"?>
<Properties xmlns="http://schemas.openxmlformats.org/officeDocument/2006/custom-properties" xmlns:vt="http://schemas.openxmlformats.org/officeDocument/2006/docPropsVTypes"/>
</file>