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Cyber Defense: Private Funds &amp; Banks</w:t>
      </w:r>
    </w:p>
    <w:p>
      <w:pPr>
        <w:spacing w:after="200"/>
      </w:pPr>
      <w:r>
        <w:rPr>
          <w:rFonts w:ascii="Montserrat" w:cs="Montserrat" w:eastAsia="Montserrat" w:hAnsi="Montserrat"/>
          <w:b/>
          <w:bCs/>
          <w:color w:val="E87722"/>
          <w:sz w:val="24"/>
          <w:szCs w:val="24"/>
        </w:rPr>
        <w:t xml:space="preserve">Michelle A. Reed</w:t>
      </w:r>
    </w:p>
    <w:p>
      <w:pPr>
        <w:pBdr>
          <w:bottom w:val="single" w:color="E87722" w:sz="6"/>
        </w:pBdr>
        <w:spacing w:after="300"/>
      </w:pPr>
    </w:p>
    <w:p>
      <w:pPr>
        <w:pStyle w:val="Heading2"/>
        <w:spacing w:after="120" w:before="240"/>
      </w:pPr>
      <w:r>
        <w:rPr>
          <w:b/>
          <w:bCs/>
        </w:rPr>
        <w:t xml:space="preserve">Overview</w:t>
      </w:r>
    </w:p>
    <w:p>
      <w:pPr>
        <w:spacing w:after="160"/>
      </w:pPr>
      <w:r>
        <w:t>This program examines the cybersecurity threats facing banks, private funds, and other financial firms and the regulatory framework that governs their response. It covers business email compromise and wire fraud, advanced persistent threats, ransomware and the sanctions risk of paying a ransom, and SEC examination priorities, then turns to the federal safeguards rules, the NIST framework and New York DFS regulation, vendor management, breach notification, incident response governance, employee training, and data retention.</w:t>
      </w:r>
    </w:p>
    <w:p>
      <w:pPr>
        <w:pStyle w:val="Heading2"/>
        <w:spacing w:after="120" w:before="240"/>
      </w:pPr>
      <w:r>
        <w:rPr>
          <w:b/>
          <w:bCs/>
        </w:rPr>
        <w:t xml:space="preserve">Learning Objectives</w:t>
      </w:r>
    </w:p>
    <w:p>
      <w:pPr>
        <w:pStyle w:val="ListParagraph"/>
        <w:numPr>
          <w:ilvl w:val="0"/>
          <w:numId w:val="1"/>
        </w:numPr>
        <w:spacing w:after="80"/>
      </w:pPr>
      <w:r>
        <w:t xml:space="preserve">Identify the principal federal and state cybersecurity rules applicable to financial firms.</w:t>
      </w:r>
    </w:p>
    <w:p>
      <w:pPr>
        <w:pStyle w:val="ListParagraph"/>
        <w:numPr>
          <w:ilvl w:val="0"/>
          <w:numId w:val="1"/>
        </w:numPr>
        <w:spacing w:after="80"/>
      </w:pPr>
      <w:r>
        <w:t xml:space="preserve">Structure vendor diligence and contractual protections for outsourced functions.</w:t>
      </w:r>
    </w:p>
    <w:p>
      <w:pPr>
        <w:pStyle w:val="ListParagraph"/>
        <w:numPr>
          <w:ilvl w:val="0"/>
          <w:numId w:val="1"/>
        </w:numPr>
        <w:spacing w:after="80"/>
      </w:pPr>
      <w:r>
        <w:t xml:space="preserve">Analyze breach notification obligations across state, federal, and international regimes.</w:t>
      </w:r>
    </w:p>
    <w:p>
      <w:pPr>
        <w:pStyle w:val="ListParagraph"/>
        <w:numPr>
          <w:ilvl w:val="0"/>
          <w:numId w:val="1"/>
        </w:numPr>
        <w:spacing w:after="80"/>
      </w:pPr>
      <w:r>
        <w:t xml:space="preserve">Design an incident response program, including governance, tabletop exercises, and out-of-band communications.</w:t>
      </w:r>
    </w:p>
    <w:p>
      <w:pPr>
        <w:pStyle w:val="ListParagraph"/>
        <w:numPr>
          <w:ilvl w:val="0"/>
          <w:numId w:val="1"/>
        </w:numPr>
        <w:spacing w:after="80"/>
      </w:pPr>
      <w:r>
        <w:t xml:space="preserve">Apply data retention and minimization principles consistent with recordkeeping requirements.</w:t>
      </w:r>
    </w:p>
    <w:p>
      <w:pPr>
        <w:pStyle w:val="ListParagraph"/>
        <w:numPr>
          <w:ilvl w:val="0"/>
          <w:numId w:val="1"/>
        </w:numPr>
        <w:spacing w:after="80"/>
      </w:pPr>
      <w:r>
        <w:t>Recognize the principal attack methods used against financial firms, including business email compromise, advanced persistent threats, and ransomware.</w:t>
      </w:r>
    </w:p>
    <w:p>
      <w:pPr>
        <w:pStyle w:val="ListParagraph"/>
        <w:numPr>
          <w:ilvl w:val="0"/>
          <w:numId w:val="1"/>
        </w:numPr>
        <w:spacing w:after="80"/>
      </w:pPr>
      <w:r>
        <w:t>Evaluate the legal and sanctions risks of paying a ransom.</w:t>
      </w:r>
    </w:p>
    <w:p>
      <w:pPr>
        <w:pStyle w:val="Heading2"/>
        <w:spacing w:after="120" w:before="240"/>
      </w:pPr>
      <w:r>
        <w:rPr>
          <w:b/>
          <w:bCs/>
        </w:rPr>
        <w:t>The Threat Landscape</w:t>
      </w:r>
    </w:p>
    <w:p>
      <w:pPr>
        <w:pStyle w:val="ListParagraph"/>
        <w:numPr>
          <w:ilvl w:val="0"/>
          <w:numId w:val="1"/>
        </w:numPr>
        <w:spacing w:after="80"/>
      </w:pPr>
      <w:r>
        <w:t>Funds and banks hold data on management companies, employees, limited partners, portfolio companies, investment targets, and vendors. Risks include business disruption, theft of intellectual property and market-moving information, conversion of funds, reputational harm, and legal liability. Because most funds lack the resources of large banks, cybersecurity is often an afterthought, and a breach is a matter of when, not if.</w:t>
      </w:r>
    </w:p>
    <w:p>
      <w:pPr>
        <w:pStyle w:val="Heading2"/>
        <w:spacing w:after="120" w:before="240"/>
      </w:pPr>
      <w:r>
        <w:rPr>
          <w:b/>
          <w:bCs/>
        </w:rPr>
        <w:t>Business Email Compromise and Wire Fraud</w:t>
      </w:r>
    </w:p>
    <w:p>
      <w:pPr>
        <w:pStyle w:val="ListParagraph"/>
        <w:numPr>
          <w:ilvl w:val="0"/>
          <w:numId w:val="1"/>
        </w:numPr>
        <w:spacing w:after="80"/>
      </w:pPr>
      <w:r>
        <w:t>Phishing emails, often spoofing executives or known vendors, are used to steal credentials or redirect payments. Attackers may sit in a compromised mailbox for weeks, learn payment routines, and then send instructions from the real account. Stolen funds typically move quickly through multiple jurisdictions, sometimes through accounts opened by unwitting money mules recruited online.</w:t>
      </w:r>
    </w:p>
    <w:p>
      <w:pPr>
        <w:pStyle w:val="ListParagraph"/>
        <w:numPr>
          <w:ilvl w:val="0"/>
          <w:numId w:val="1"/>
        </w:numPr>
        <w:spacing w:after="80"/>
      </w:pPr>
      <w:r>
        <w:t>SEC Section 21(a) Report, Release No. 34-84429 (Oct. 16, 2018). The SEC investigated nine public companies that lost nearly $100 million to business email compromises and advised that internal accounting controls should account for cyber-related frauds.</w:t>
      </w:r>
    </w:p>
    <w:p>
      <w:pPr>
        <w:pStyle w:val="ListParagraph"/>
        <w:numPr>
          <w:ilvl w:val="0"/>
          <w:numId w:val="1"/>
        </w:numPr>
        <w:spacing w:after="80"/>
      </w:pPr>
      <w:r>
        <w:t>Two-factor authentication on email is the simplest first-level defense.</w:t>
      </w:r>
    </w:p>
    <w:p>
      <w:pPr>
        <w:pStyle w:val="Heading2"/>
        <w:spacing w:after="120" w:before="240"/>
      </w:pPr>
      <w:r>
        <w:rPr>
          <w:b/>
          <w:bCs/>
        </w:rPr>
        <w:t>Advanced Persistent Threats</w:t>
      </w:r>
    </w:p>
    <w:p>
      <w:pPr>
        <w:pStyle w:val="ListParagraph"/>
        <w:numPr>
          <w:ilvl w:val="0"/>
          <w:numId w:val="1"/>
        </w:numPr>
        <w:spacing w:after="80"/>
      </w:pPr>
      <w:r>
        <w:t>Advanced persistent threats, typically nation-state or sophisticated criminal actors, exploit system vulnerabilities, establish backchannels, and remain undetected for extended periods to collect confidential and market-moving information. Responding often requires specialized threat-hunting firms working quietly so the intruder is not alerted.</w:t>
      </w:r>
    </w:p>
    <w:p>
      <w:pPr>
        <w:pStyle w:val="Heading2"/>
        <w:spacing w:after="120" w:before="240"/>
      </w:pPr>
      <w:r>
        <w:rPr>
          <w:b/>
          <w:bCs/>
        </w:rPr>
        <w:t>Ransomware and Sanctions</w:t>
      </w:r>
    </w:p>
    <w:p>
      <w:pPr>
        <w:pStyle w:val="ListParagraph"/>
        <w:numPr>
          <w:ilvl w:val="0"/>
          <w:numId w:val="1"/>
        </w:numPr>
        <w:spacing w:after="80"/>
      </w:pPr>
      <w:r>
        <w:t>Ransomware encrypts systems and demands payment, often in cryptocurrency, for a decryption key; it can also cover for more advanced intrusions. The primary defense is a disaster recovery backup stored separately from the production environment.</w:t>
      </w:r>
    </w:p>
    <w:p>
      <w:pPr>
        <w:pStyle w:val="ListParagraph"/>
        <w:numPr>
          <w:ilvl w:val="0"/>
          <w:numId w:val="1"/>
        </w:numPr>
        <w:spacing w:after="80"/>
      </w:pPr>
      <w:r>
        <w:t>Paying a ransom is generally not prohibited, but U.S. persons may not transact with parties on sanctions lists maintained by Treasury's Office of Foreign Assets Control (OFAC). OFAC's ransomware advisories (2020, updated 2021) warn that facilitating payments to sanctioned actors can result in civil penalties on a strict liability basis. See also 31 C.F.R. Part 578 (Cyber-Related Sanctions Regulations). Many firms carry cyber insurance that may cover ransom payments.</w:t>
      </w:r>
    </w:p>
    <w:p>
      <w:pPr>
        <w:pStyle w:val="Heading2"/>
        <w:spacing w:after="120" w:before="240"/>
      </w:pPr>
      <w:r>
        <w:rPr>
          <w:b/>
          <w:bCs/>
        </w:rPr>
        <w:t>SEC Examinations</w:t>
      </w:r>
    </w:p>
    <w:p>
      <w:pPr>
        <w:pStyle w:val="ListParagraph"/>
        <w:numPr>
          <w:ilvl w:val="0"/>
          <w:numId w:val="1"/>
        </w:numPr>
        <w:spacing w:after="80"/>
      </w:pPr>
      <w:r>
        <w:t>The SEC's examination staff (formerly the Office of Compliance Inspections and Examinations, renamed the Division of Examinations in December 2020) has listed cybersecurity as a priority for years. Early exam requests tracked the NIST Cybersecurity Framework and focused on preparedness, later adding questions on wire transfer fraud, disaster recovery, and compliance with Regulation S-P and Regulation S-ID.</w:t>
      </w:r>
    </w:p>
    <w:p>
      <w:pPr>
        <w:pStyle w:val="Heading2"/>
        <w:spacing w:after="120" w:before="240"/>
      </w:pPr>
      <w:r>
        <w:rPr>
          <w:b/>
          <w:bCs/>
        </w:rPr>
        <w:t xml:space="preserve">Federal Safeguards Rules</w:t>
      </w:r>
    </w:p>
    <w:p>
      <w:pPr>
        <w:pStyle w:val="ListParagraph"/>
        <w:numPr>
          <w:ilvl w:val="0"/>
          <w:numId w:val="1"/>
        </w:numPr>
        <w:spacing w:after="80"/>
      </w:pPr>
      <w:r>
        <w:rPr>
          <w:b/>
          <w:bCs/>
        </w:rPr>
        <w:t xml:space="preserve">Gramm-Leach-Bliley Act</w:t>
      </w:r>
      <w:r>
        <w:t xml:space="preserve">, 15 U.S.C. §§ 6801–6809, requires financial institutions to protect the security and confidentiality of customer information.</w:t>
      </w:r>
    </w:p>
    <w:p>
      <w:pPr>
        <w:pStyle w:val="ListParagraph"/>
        <w:numPr>
          <w:ilvl w:val="0"/>
          <w:numId w:val="1"/>
        </w:numPr>
        <w:spacing w:after="80"/>
      </w:pPr>
      <w:r>
        <w:rPr>
          <w:b/>
          <w:bCs/>
        </w:rPr>
        <w:t xml:space="preserve">Regulation S-P</w:t>
      </w:r>
      <w:r>
        <w:t xml:space="preserve">, 17 C.F.R. Part 248, Subpart A. The Safeguards Rule, § 248.30(a), requires written policies and procedures with administrative, technical, and physical safeguards. The Disposal Rule, § 248.30(b), governs disposal of consumer report information.</w:t>
      </w:r>
    </w:p>
    <w:p>
      <w:pPr>
        <w:pStyle w:val="ListParagraph"/>
        <w:numPr>
          <w:ilvl w:val="0"/>
          <w:numId w:val="1"/>
        </w:numPr>
        <w:spacing w:after="80"/>
      </w:pPr>
      <w:r>
        <w:rPr>
          <w:b/>
          <w:bCs/>
        </w:rPr>
        <w:t xml:space="preserve">Regulation S-ID</w:t>
      </w:r>
      <w:r>
        <w:t xml:space="preserve">, 17 C.F.R. Part 248, Subpart C, and the CFTC's parallel rules, 17 C.F.R. Part 162, require identity theft prevention programs.</w:t>
      </w:r>
    </w:p>
    <w:p>
      <w:pPr>
        <w:pStyle w:val="ListParagraph"/>
        <w:numPr>
          <w:ilvl w:val="0"/>
          <w:numId w:val="1"/>
        </w:numPr>
        <w:spacing w:after="80"/>
      </w:pPr>
      <w:r>
        <w:rPr>
          <w:b/>
          <w:bCs/>
        </w:rPr>
        <w:t xml:space="preserve">Futures firms.</w:t>
      </w:r>
      <w:r>
        <w:t xml:space="preserve">The CFTC's supervision rules (e.g., 17 C.F.R. § 166.3) and NFA Interpretive Notice 9070 require written information systems security programs.</w:t>
      </w:r>
    </w:p>
    <w:p>
      <w:pPr>
        <w:pStyle w:val="ListParagraph"/>
        <w:numPr>
          <w:ilvl w:val="0"/>
          <w:numId w:val="1"/>
        </w:numPr>
        <w:spacing w:after="80"/>
      </w:pPr>
      <w:r>
        <w:rPr>
          <w:b/>
          <w:bCs/>
        </w:rPr>
        <w:t xml:space="preserve">Banks.</w:t>
      </w:r>
      <w:r>
        <w:t xml:space="preserve">The Interagency Guidelines Establishing Information Security Standards apply, and the 2021 Computer-Security Incident Notification Rule requires banks to notify their primary federal regulator within 36 hours of a notification incident.</w:t>
      </w:r>
    </w:p>
    <w:p>
      <w:pPr>
        <w:pStyle w:val="Heading2"/>
        <w:spacing w:after="120" w:before="240"/>
      </w:pPr>
      <w:r>
        <w:rPr>
          <w:b/>
          <w:bCs/>
        </w:rPr>
        <w:t xml:space="preserve">Frameworks and State Regulation</w:t>
      </w:r>
    </w:p>
    <w:p>
      <w:pPr>
        <w:pStyle w:val="ListParagraph"/>
        <w:numPr>
          <w:ilvl w:val="0"/>
          <w:numId w:val="1"/>
        </w:numPr>
        <w:spacing w:after="80"/>
      </w:pPr>
      <w:r>
        <w:rPr>
          <w:b/>
          <w:bCs/>
        </w:rPr>
        <w:t xml:space="preserve">NIST Cybersecurity Framework.</w:t>
      </w:r>
      <w:r>
        <w:t xml:space="preserve">This voluntary framework was developed under Executive Order 13636 (2013). Version 2.0 (2024) organizes activities into Govern, Identify, Protect, Detect, Respond, and Recover.</w:t>
      </w:r>
    </w:p>
    <w:p>
      <w:pPr>
        <w:pStyle w:val="ListParagraph"/>
        <w:numPr>
          <w:ilvl w:val="0"/>
          <w:numId w:val="1"/>
        </w:numPr>
        <w:spacing w:after="80"/>
      </w:pPr>
      <w:r>
        <w:rPr>
          <w:b/>
          <w:bCs/>
        </w:rPr>
        <w:t xml:space="preserve">New York DFS Cybersecurity Regulation</w:t>
      </w:r>
      <w:r>
        <w:t xml:space="preserve">, 23 NYCRR Part 500. It requires a risk-based cybersecurity program, a CISO, encryption of nonpublic information in transit and at rest (or compensating controls), third-party service provider policies, and annual compliance certification. The second amendment (Nov. 2023) added governance obligations for senior officers and the board, enhanced requirements for "Class A" companies, universal multifactor authentication, asset inventories, an expanded 72-hour incident-notice requirement (including certain incidents at third-party service providers), and 24-hour notice of extortion payments, with the final requirements phased in by November 1, 2025.</w:t>
      </w:r>
    </w:p>
    <w:p>
      <w:pPr>
        <w:pStyle w:val="Heading2"/>
        <w:spacing w:after="120" w:before="240"/>
      </w:pPr>
      <w:r>
        <w:rPr>
          <w:b/>
          <w:bCs/>
        </w:rPr>
        <w:t xml:space="preserve">Vendor Management</w:t>
      </w:r>
    </w:p>
    <w:p>
      <w:pPr>
        <w:spacing w:after="160"/>
      </w:pPr>
      <w:r>
        <w:t xml:space="preserve">Funds commonly outsource IT security, administration, and investor communications. Effective oversight includes risk-based diligence, contract terms that require security controls, prompt breach notice, audit and cooperation rights, and data return or destruction, plus ongoing monitoring. Regulation S-P, as amended in 2024, requires covered institutions to oversee service providers, including requiring notice of breaches within 72 hours.</w:t>
      </w:r>
    </w:p>
    <w:p>
      <w:pPr>
        <w:pStyle w:val="Heading2"/>
        <w:spacing w:after="120" w:before="240"/>
      </w:pPr>
      <w:r>
        <w:rPr>
          <w:b/>
          <w:bCs/>
        </w:rPr>
        <w:t xml:space="preserve">Breach Notification</w:t>
      </w:r>
    </w:p>
    <w:p>
      <w:pPr>
        <w:pStyle w:val="ListParagraph"/>
        <w:numPr>
          <w:ilvl w:val="0"/>
          <w:numId w:val="1"/>
        </w:numPr>
        <w:spacing w:after="80"/>
      </w:pPr>
      <w:r>
        <w:rPr>
          <w:b/>
          <w:bCs/>
        </w:rPr>
        <w:t xml:space="preserve">State laws.</w:t>
      </w:r>
      <w:r>
        <w:t xml:space="preserve">All fifty states, D.C., and U.S. territories have breach notification statutes with differing definitions of personal information, triggers (acquisition versus access), timing, and regulator notice. New York's SHIELD Act, N.Y. Gen. Bus. Law § 899-aa (as amended 2019), adopted an access trigger, and 2024 amendments require consumer notice within 30 days of discovery.</w:t>
      </w:r>
    </w:p>
    <w:p>
      <w:pPr>
        <w:pStyle w:val="ListParagraph"/>
        <w:numPr>
          <w:ilvl w:val="0"/>
          <w:numId w:val="1"/>
        </w:numPr>
        <w:spacing w:after="80"/>
      </w:pPr>
      <w:r>
        <w:rPr>
          <w:b/>
          <w:bCs/>
        </w:rPr>
        <w:t xml:space="preserve">GDPR.</w:t>
      </w:r>
      <w:r>
        <w:t xml:space="preserve">Controllers must notify the supervisory authority within 72 hours of becoming aware of a personal data breach likely to pose a risk to individuals, art. 33, and notify individuals without undue delay when the risk is high, art. 34.</w:t>
      </w:r>
    </w:p>
    <w:p>
      <w:pPr>
        <w:pStyle w:val="ListParagraph"/>
        <w:numPr>
          <w:ilvl w:val="0"/>
          <w:numId w:val="1"/>
        </w:numPr>
        <w:spacing w:after="80"/>
      </w:pPr>
      <w:r>
        <w:rPr>
          <w:b/>
          <w:bCs/>
        </w:rPr>
        <w:t xml:space="preserve">Public companies.</w:t>
      </w:r>
      <w:r>
        <w:t xml:space="preserve">Form 8-K Item 1.05 (2023) requires disclosure of material cybersecurity incidents within four business days after a materiality determination, and Regulation S-K Item 106 requires annual disclosure of risk management and governance.</w:t>
      </w:r>
    </w:p>
    <w:p>
      <w:pPr>
        <w:pStyle w:val="ListParagraph"/>
        <w:numPr>
          <w:ilvl w:val="0"/>
          <w:numId w:val="1"/>
        </w:numPr>
        <w:spacing w:after="80"/>
      </w:pPr>
      <w:r>
        <w:rPr>
          <w:b/>
          <w:bCs/>
        </w:rPr>
        <w:t xml:space="preserve">Materiality and candor.</w:t>
      </w:r>
      <w:r>
        <w:t xml:space="preserve">Internal communications emphasizing secrecy can be evidence that information was material. See</w:t>
      </w:r>
      <w:r>
        <w:rPr>
          <w:i/>
          <w:iCs/>
        </w:rPr>
        <w:t xml:space="preserve">In re Phillip Capital Inc.</w:t>
      </w:r>
      <w:r>
        <w:t xml:space="preserve">(CFTC Sept. 12, 2019) ($500,000 civil penalty and restitution following a cyber-enabled wire fraud and failure to timely disclose it to customers).</w:t>
      </w:r>
    </w:p>
    <w:p>
      <w:pPr>
        <w:pStyle w:val="Heading2"/>
        <w:spacing w:after="120" w:before="240"/>
      </w:pPr>
      <w:r>
        <w:rPr>
          <w:b/>
          <w:bCs/>
        </w:rPr>
        <w:t xml:space="preserve">Incident Response Governance</w:t>
      </w:r>
    </w:p>
    <w:p>
      <w:pPr>
        <w:pStyle w:val="ListParagraph"/>
        <w:numPr>
          <w:ilvl w:val="0"/>
          <w:numId w:val="1"/>
        </w:numPr>
        <w:spacing w:after="80"/>
      </w:pPr>
      <w:r>
        <w:t xml:space="preserve">A written incident response plan with a pre-designated team (legal, IT/security, compliance, communications, and management) and outside forensic and legal resources.</w:t>
      </w:r>
    </w:p>
    <w:p>
      <w:pPr>
        <w:pStyle w:val="ListParagraph"/>
        <w:numPr>
          <w:ilvl w:val="0"/>
          <w:numId w:val="1"/>
        </w:numPr>
        <w:spacing w:after="80"/>
      </w:pPr>
      <w:r>
        <w:t xml:space="preserve">Tabletop exercises at least annually, testing escalation, decision-making, and notification.</w:t>
      </w:r>
    </w:p>
    <w:p>
      <w:pPr>
        <w:pStyle w:val="ListParagraph"/>
        <w:numPr>
          <w:ilvl w:val="0"/>
          <w:numId w:val="1"/>
        </w:numPr>
        <w:spacing w:after="80"/>
      </w:pPr>
      <w:r>
        <w:t xml:space="preserve">Out-of-band communications, such as secure messaging or phone lines, when primary systems may be compromised, and use of counsel to preserve privilege over investigations where appropriate.</w:t>
      </w:r>
    </w:p>
    <w:p>
      <w:pPr>
        <w:pStyle w:val="ListParagraph"/>
        <w:numPr>
          <w:ilvl w:val="0"/>
          <w:numId w:val="1"/>
        </w:numPr>
        <w:spacing w:after="80"/>
      </w:pPr>
      <w:r>
        <w:t xml:space="preserve">Logging and monitoring sufficient to reconstruct attacker activity and protect data integrity.</w:t>
      </w:r>
    </w:p>
    <w:p>
      <w:pPr>
        <w:pStyle w:val="ListParagraph"/>
        <w:numPr>
          <w:ilvl w:val="0"/>
          <w:numId w:val="1"/>
        </w:numPr>
        <w:spacing w:after="80"/>
      </w:pPr>
      <w:r>
        <w:t xml:space="preserve">Ransom considerations: OFAC has warned that facilitating ransomware payments to sanctioned persons may violate sanctions law (OFAC advisories of 2020 and 2021).</w:t>
      </w:r>
    </w:p>
    <w:p>
      <w:pPr>
        <w:pStyle w:val="Heading2"/>
        <w:spacing w:after="120" w:before="240"/>
      </w:pPr>
      <w:r>
        <w:rPr>
          <w:b/>
          <w:bCs/>
        </w:rPr>
        <w:t xml:space="preserve">People and Technology</w:t>
      </w:r>
    </w:p>
    <w:p>
      <w:pPr>
        <w:spacing w:after="160"/>
      </w:pPr>
      <w:r>
        <w:t xml:space="preserve">Phishing simulations and training reduce click rates substantially over time. Multifactor authentication, least-privilege access, user behavior analytics, and penetration testing (at least annually, scaled to size and risk) are core controls. A gap analysis should document identified weaknesses and remediation.</w:t>
      </w:r>
    </w:p>
    <w:p>
      <w:pPr>
        <w:pStyle w:val="Heading2"/>
        <w:spacing w:after="120" w:before="240"/>
      </w:pPr>
      <w:r>
        <w:rPr>
          <w:b/>
          <w:bCs/>
        </w:rPr>
        <w:t xml:space="preserve">Data Retention and Minimization</w:t>
      </w:r>
    </w:p>
    <w:p>
      <w:pPr>
        <w:spacing w:after="160"/>
      </w:pPr>
      <w:r>
        <w:t xml:space="preserve">Firms must preserve required records, for example under Advisers Act Rule 204-2, 17 C.F.R. § 275.204-2, and Exchange Act Rule 17a-4, 17 C.F.R. § 240.17a-4, but retaining data beyond legal and business needs increases breach exposure. A written retention and destruction schedule, consistently applied and subject to litigation holds, reduces risk. State privacy laws, beginning with the California Consumer Privacy Act (as amended by the CPRA), impose data-mapping, purpose-limitation, and retention-disclosure obligations.</w:t>
      </w:r>
    </w:p>
    <w:p>
      <w:pPr>
        <w:pStyle w:val="Heading2"/>
        <w:spacing w:after="120" w:before="240"/>
      </w:pPr>
      <w:r>
        <w:rPr>
          <w:b/>
          <w:bCs/>
        </w:rPr>
        <w:t xml:space="preserve">Developments to Know</w:t>
      </w:r>
    </w:p>
    <w:p>
      <w:pPr>
        <w:pStyle w:val="ListParagraph"/>
        <w:numPr>
          <w:ilvl w:val="0"/>
          <w:numId w:val="1"/>
        </w:numPr>
        <w:spacing w:after="80"/>
      </w:pPr>
      <w:r>
        <w:rPr>
          <w:b/>
          <w:bCs/>
        </w:rPr>
        <w:t xml:space="preserve">Regulation S-P amendments</w:t>
      </w:r>
      <w:r>
        <w:t xml:space="preserve">(adopted May 2024). The amendments require incident response programs, customer notification within 30 days of a breach of sensitive customer information, service provider oversight, and recordkeeping. Compliance began December 2025 for larger entities and June 2026 for smaller ones.</w:t>
      </w:r>
    </w:p>
    <w:p>
      <w:pPr>
        <w:pStyle w:val="ListParagraph"/>
        <w:numPr>
          <w:ilvl w:val="0"/>
          <w:numId w:val="1"/>
        </w:numPr>
        <w:spacing w:after="80"/>
      </w:pPr>
      <w:r>
        <w:rPr>
          <w:b/>
          <w:bCs/>
        </w:rPr>
        <w:t xml:space="preserve">SEC public company cyber rules</w:t>
      </w:r>
      <w:r>
        <w:t xml:space="preserve">(July 2023): Form 8-K Item 1.05 and Regulation S-K Item 106.</w:t>
      </w:r>
    </w:p>
    <w:p>
      <w:pPr>
        <w:pStyle w:val="ListParagraph"/>
        <w:numPr>
          <w:ilvl w:val="0"/>
          <w:numId w:val="1"/>
        </w:numPr>
        <w:spacing w:after="80"/>
      </w:pPr>
      <w:r>
        <w:rPr>
          <w:b/>
          <w:bCs/>
        </w:rPr>
        <w:t xml:space="preserve">Withdrawn proposals.</w:t>
      </w:r>
      <w:r>
        <w:t xml:space="preserve">The SEC's 2022 proposed cybersecurity risk management rules for advisers and funds (proposed Rule 206(4)-9 and Rule 38a-2) were withdrawn in June 2025.</w:t>
      </w:r>
    </w:p>
    <w:p>
      <w:pPr>
        <w:pStyle w:val="ListParagraph"/>
        <w:numPr>
          <w:ilvl w:val="0"/>
          <w:numId w:val="1"/>
        </w:numPr>
        <w:spacing w:after="80"/>
      </w:pPr>
      <w:r>
        <w:rPr>
          <w:b/>
          <w:bCs/>
        </w:rPr>
        <w:t xml:space="preserve">&lt;em&gt;SEC v. SolarWinds Corp.&lt;/em&gt;</w:t>
      </w:r>
      <w:r>
        <w:t xml:space="preserve">, 741 F. Supp. 3d 37 (S.D.N.Y. 2024). The court dismissed most claims against the company and its security chief, including internal accounting controls claims based on cybersecurity, and rejected disclosure claims about post-incident statements. The SEC voluntarily dismissed the remaining claims in November 2025.</w:t>
      </w:r>
    </w:p>
    <w:p>
      <w:pPr>
        <w:pStyle w:val="ListParagraph"/>
        <w:numPr>
          <w:ilvl w:val="0"/>
          <w:numId w:val="1"/>
        </w:numPr>
        <w:spacing w:after="80"/>
      </w:pPr>
      <w:r>
        <w:rPr>
          <w:b/>
          <w:bCs/>
        </w:rPr>
        <w:t xml:space="preserve">State privacy laws.</w:t>
      </w:r>
      <w:r>
        <w:t xml:space="preserve">Roughly twenty states have enacted comprehensive consumer privacy statutes. There is no comprehensive federal privacy law.</w:t>
      </w:r>
    </w:p>
    <w:p>
      <w:pPr>
        <w:pStyle w:val="ListParagraph"/>
        <w:numPr>
          <w:ilvl w:val="0"/>
          <w:numId w:val="1"/>
        </w:numPr>
        <w:spacing w:after="80"/>
      </w:pPr>
      <w:r>
        <w:rPr>
          <w:b/>
          <w:bCs/>
        </w:rPr>
        <w:t xml:space="preserve">Off-channel communications.</w:t>
      </w:r>
      <w:r>
        <w:t xml:space="preserve">Between 2021 and 2024, the SEC and CFTC imposed well over $2 billion in penalties on financial firms for recordkeeping failures involving unapproved messaging apps, underscoring the need to enforce retention and communications policies.</w:t>
      </w:r>
    </w:p>
    <w:p>
      <w:pPr>
        <w:pStyle w:val="ListParagraph"/>
        <w:numPr>
          <w:ilvl w:val="0"/>
          <w:numId w:val="1"/>
        </w:numPr>
        <w:spacing w:after="80"/>
      </w:pPr>
      <w:r>
        <w:rPr>
          <w:b/>
          <w:bCs/>
        </w:rPr>
        <w:t xml:space="preserve">Critical infrastructure reporting.</w:t>
      </w:r>
      <w:r>
        <w:t xml:space="preserve">The Cyber Incident Reporting for Critical Infrastructure Act of 2022 directs CISA to require 72-hour incident reports and 24-hour ransom payment reports from covered entities once final rules take effect. CISA has repeatedly delayed the final rule, so these obligations are not yet in effect.</w:t>
      </w:r>
    </w:p>
    <w:p>
      <w:pPr>
        <w:pStyle w:val="ListParagraph"/>
        <w:numPr>
          <w:ilvl w:val="0"/>
          <w:numId w:val="1"/>
        </w:numPr>
        <w:spacing w:after="80"/>
      </w:pPr>
      <w:r>
        <w:rPr>
          <w:b/>
          <w:bCs/>
        </w:rPr>
        <w:t xml:space="preserve">SEC enforcement structure.</w:t>
      </w:r>
      <w:r>
        <w:t xml:space="preserve">In February 2025 the SEC replaced its Crypto Assets and Cyber Unit with a Cyber and Emerging Technologies Unit focused on fraud involving emerging technologies, cyber intrusions, and retail investor harm.</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