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t>Mass Incarceration: Causes and Reforms</w:t>
      </w:r>
    </w:p>
    <w:p>
      <w:pPr>
        <w:spacing w:after="200"/>
      </w:pPr>
      <w:r>
        <w:rPr>
          <w:rFonts w:ascii="Montserrat" w:cs="Montserrat" w:eastAsia="Montserrat" w:hAnsi="Montserrat"/>
          <w:b/>
          <w:bCs/>
          <w:color w:val="E87722"/>
          <w:sz w:val="24"/>
          <w:szCs w:val="24"/>
        </w:rPr>
        <w:t xml:space="preserve">Prof. Rachel Barkow</w:t>
      </w:r>
    </w:p>
    <w:p>
      <w:pPr>
        <w:pBdr>
          <w:bottom w:val="single" w:color="E87722" w:sz="6"/>
        </w:pBdr>
        <w:spacing w:after="300"/>
      </w:pPr>
    </w:p>
    <w:p>
      <w:pPr>
        <w:pStyle w:val="Heading2"/>
        <w:spacing w:after="120" w:before="240"/>
      </w:pPr>
      <w:r>
        <w:rPr>
          <w:b/>
          <w:bCs/>
        </w:rPr>
        <w:t xml:space="preserve">Overview</w:t>
      </w:r>
    </w:p>
    <w:p>
      <w:pPr>
        <w:spacing w:after="160"/>
      </w:pPr>
      <w:r>
        <w:t>This program examines the scale, causes, and consequences of mass incarceration in the United States. It covers incarceration trends relative to crime rates, the political dynamics that drove punitive policy, key federal statutes and incentives affecting sentencing, the dominant role of state systems, collateral effects on families and communities, the constitutional framework for prison conditions, and the evidence on recidivism and rehabilitation. It then turns to reforms and structural solutions.</w:t>
      </w:r>
    </w:p>
    <w:p>
      <w:pPr>
        <w:spacing w:after="160"/>
      </w:pPr>
      <w:r>
        <w:t>The second half examines reforms addressing mass incarceration and the institutional designs most likely to produce lasting change. Topics include fiscally driven state reform,</w:t>
      </w:r>
      <w:r>
        <w:rPr>
          <w:i/>
          <w:iCs/>
        </w:rPr>
        <w:t xml:space="preserve">Brown v. Plata</w:t>
      </w:r>
      <w:r>
        <w:t xml:space="preserve">and California's realignment, federal sentencing guideline reductions, the scope of prosecutorial discretion, pretrial detention, the limits of marijuana reform, sentencing for violent offenses and juveniles, diversion and problem-solving courts, correctional programming, and the role of expert agencies insulated from electoral pressure. It concludes with federal and state developments since 2018.</w:t>
      </w:r>
    </w:p>
    <w:p>
      <w:pPr>
        <w:pStyle w:val="Heading2"/>
        <w:spacing w:after="120" w:before="240"/>
      </w:pPr>
      <w:r>
        <w:rPr>
          <w:b/>
          <w:bCs/>
        </w:rPr>
        <w:t xml:space="preserve">Learning Objectives</w:t>
      </w:r>
    </w:p>
    <w:p>
      <w:pPr>
        <w:pStyle w:val="ListParagraph"/>
        <w:numPr>
          <w:ilvl w:val="0"/>
          <w:numId w:val="1"/>
        </w:numPr>
        <w:spacing w:after="80"/>
      </w:pPr>
      <w:r>
        <w:t xml:space="preserve">Describe the growth of U.S. incarceration since the 1970s and its relationship to crime trends.</w:t>
      </w:r>
    </w:p>
    <w:p>
      <w:pPr>
        <w:pStyle w:val="ListParagraph"/>
        <w:numPr>
          <w:ilvl w:val="0"/>
          <w:numId w:val="1"/>
        </w:numPr>
        <w:spacing w:after="80"/>
      </w:pPr>
      <w:r>
        <w:t xml:space="preserve">Identify the federal statutes and funding incentives that expanded mandatory minimums, truth-in-sentencing, and collateral sanctions.</w:t>
      </w:r>
    </w:p>
    <w:p>
      <w:pPr>
        <w:pStyle w:val="ListParagraph"/>
        <w:numPr>
          <w:ilvl w:val="0"/>
          <w:numId w:val="1"/>
        </w:numPr>
        <w:spacing w:after="80"/>
      </w:pPr>
      <w:r>
        <w:t xml:space="preserve">Explain why state charging and sentencing practices drive most incarceration.</w:t>
      </w:r>
    </w:p>
    <w:p>
      <w:pPr>
        <w:pStyle w:val="ListParagraph"/>
        <w:numPr>
          <w:ilvl w:val="0"/>
          <w:numId w:val="1"/>
        </w:numPr>
        <w:spacing w:after="80"/>
      </w:pPr>
      <w:r>
        <w:t xml:space="preserve">Summarize the constitutional standards governing conditions of confinement.</w:t>
      </w:r>
    </w:p>
    <w:p>
      <w:pPr>
        <w:pStyle w:val="ListParagraph"/>
        <w:numPr>
          <w:ilvl w:val="0"/>
          <w:numId w:val="1"/>
        </w:numPr>
        <w:spacing w:after="80"/>
      </w:pPr>
      <w:r>
        <w:t xml:space="preserve">Evaluate evidence on recidivism and on the cost-effectiveness of in-prison programming.</w:t>
      </w:r>
    </w:p>
    <w:p>
      <w:pPr>
        <w:pStyle w:val="Heading2"/>
        <w:spacing w:after="120" w:before="240"/>
      </w:pPr>
      <w:r>
        <w:rPr>
          <w:b/>
          <w:bCs/>
        </w:rPr>
        <w:t xml:space="preserve">Scale and Trends</w:t>
      </w:r>
    </w:p>
    <w:p>
      <w:pPr>
        <w:spacing w:after="160"/>
      </w:pPr>
      <w:r>
        <w:t xml:space="preserve">U.S. incarceration was relatively stable, and comparable to other Western democracies, until the early 1970s. It then rose roughly fivefold, peaking at about 2.3 million people in prisons and jails around 2008, with several million more on probation or parole. The initial rise coincided with increasing violent crime, but incarceration continued to climb through the 1990s and 2000s as crime fell. See National Research Council,</w:t>
      </w:r>
      <w:r>
        <w:rPr>
          <w:i/>
          <w:iCs/>
        </w:rPr>
        <w:t xml:space="preserve">The Growth of Incarceration in the United States: Exploring Causes and Consequences</w:t>
      </w:r>
      <w:r>
        <w:t xml:space="preserve">(2014). The impact is concentrated among low-income communities and communities of color.</w:t>
      </w:r>
    </w:p>
    <w:p>
      <w:pPr>
        <w:pStyle w:val="Heading2"/>
        <w:spacing w:after="120" w:before="240"/>
      </w:pPr>
      <w:r>
        <w:rPr>
          <w:b/>
          <w:bCs/>
        </w:rPr>
        <w:t xml:space="preserve">Political Drivers</w:t>
      </w:r>
    </w:p>
    <w:p>
      <w:pPr>
        <w:spacing w:after="160"/>
      </w:pPr>
      <w:r>
        <w:t xml:space="preserve">From the 1960s onward, "law and order" became a central electoral theme, beginning with Barry Goldwater and continuing through the Nixon and Reagan administrations and, later, bipartisan support for punitive legislation. Media coverage of crime, particularly local television news, is associated with greater public punitiveness. High-salience individual cases, such as the Willie Horton furlough case in the 1988 presidential campaign, discouraged officials from supporting parole, furlough, and clemency. See Rachel Elise Barkow,</w:t>
      </w:r>
      <w:r>
        <w:rPr>
          <w:i/>
          <w:iCs/>
        </w:rPr>
        <w:t xml:space="preserve">Prisoners of Politics: Breaking the Cycle of Mass Incarceration</w:t>
      </w:r>
      <w:r>
        <w:t xml:space="preserve">(2019).</w:t>
      </w:r>
    </w:p>
    <w:p>
      <w:pPr>
        <w:pStyle w:val="Heading2"/>
        <w:spacing w:after="120" w:before="240"/>
      </w:pPr>
      <w:r>
        <w:rPr>
          <w:b/>
          <w:bCs/>
        </w:rPr>
        <w:t xml:space="preserve">Federal Legislation and Incentives</w:t>
      </w:r>
    </w:p>
    <w:p>
      <w:pPr>
        <w:pStyle w:val="ListParagraph"/>
        <w:numPr>
          <w:ilvl w:val="0"/>
          <w:numId w:val="1"/>
        </w:numPr>
        <w:spacing w:after="80"/>
      </w:pPr>
      <w:r>
        <w:rPr>
          <w:b/>
          <w:bCs/>
        </w:rPr>
        <w:t xml:space="preserve">Sentencing Reform Act of 1984</w:t>
      </w:r>
      <w:r>
        <w:t xml:space="preserve">(part of the Comprehensive Crime Control Act, Pub. L. No. 98-473). This act abolished federal parole for new offenses, created the U.S. Sentencing Commission, and established the Sentencing Guidelines. 18 U.S.C. § 3551 et seq.; 28 U.S.C. § 991 et seq.</w:t>
      </w:r>
    </w:p>
    <w:p>
      <w:pPr>
        <w:pStyle w:val="ListParagraph"/>
        <w:numPr>
          <w:ilvl w:val="0"/>
          <w:numId w:val="1"/>
        </w:numPr>
        <w:spacing w:after="80"/>
      </w:pPr>
      <w:r>
        <w:rPr>
          <w:b/>
          <w:bCs/>
        </w:rPr>
        <w:t xml:space="preserve">Anti-Drug Abuse Act of 1986</w:t>
      </w:r>
      <w:r>
        <w:t xml:space="preserve">(Pub. L. No. 99-570). This act established quantity-based five- and ten-year mandatory minimums for drug trafficking, including the 100-to-1 crack-to-powder cocaine ratio. 21 U.S.C. § 841(b).</w:t>
      </w:r>
    </w:p>
    <w:p>
      <w:pPr>
        <w:pStyle w:val="ListParagraph"/>
        <w:numPr>
          <w:ilvl w:val="0"/>
          <w:numId w:val="1"/>
        </w:numPr>
        <w:spacing w:after="80"/>
      </w:pPr>
      <w:r>
        <w:rPr>
          <w:b/>
          <w:bCs/>
        </w:rPr>
        <w:t xml:space="preserve">Firearms.</w:t>
      </w:r>
      <w:r>
        <w:t xml:space="preserve">18 U.S.C. § 924(c) imposes mandatory consecutive sentences for using or carrying a firearm during and in relation to a crime of violence or drug trafficking crime.</w:t>
      </w:r>
    </w:p>
    <w:p>
      <w:pPr>
        <w:pStyle w:val="ListParagraph"/>
        <w:numPr>
          <w:ilvl w:val="0"/>
          <w:numId w:val="1"/>
        </w:numPr>
        <w:spacing w:after="80"/>
      </w:pPr>
      <w:r>
        <w:rPr>
          <w:b/>
          <w:bCs/>
        </w:rPr>
        <w:t xml:space="preserve">Violent Crime Control and Law Enforcement Act of 1994</w:t>
      </w:r>
      <w:r>
        <w:t xml:space="preserve">(Pub. L. No. 103-322). This act created federal "three strikes" provisions (18 U.S.C. § 3559(c)) and Truth-in-Sentencing Incentive Grants for states requiring violent offenders to serve at least 85 percent of their sentences.</w:t>
      </w:r>
    </w:p>
    <w:p>
      <w:pPr>
        <w:pStyle w:val="ListParagraph"/>
        <w:numPr>
          <w:ilvl w:val="0"/>
          <w:numId w:val="1"/>
        </w:numPr>
        <w:spacing w:after="80"/>
      </w:pPr>
      <w:r>
        <w:rPr>
          <w:b/>
          <w:bCs/>
        </w:rPr>
        <w:t xml:space="preserve">Driver's license sanctions.</w:t>
      </w:r>
      <w:r>
        <w:t xml:space="preserve">23 U.S.C. § 159 conditions federal highway funds on states suspending driver's licenses for drug offenses, unless the state formally opts out.</w:t>
      </w:r>
    </w:p>
    <w:p>
      <w:pPr>
        <w:spacing w:after="160"/>
      </w:pPr>
      <w:r>
        <w:t xml:space="preserve">About 90 percent of incarcerated people are held in state prisons and local jails, so state legislation and local prosecutorial practice are the dominant drivers. See John F. Pfaff,</w:t>
      </w:r>
      <w:r>
        <w:rPr>
          <w:i/>
          <w:iCs/>
        </w:rPr>
        <w:t xml:space="preserve">Locked In: The True Causes of Mass Incarceration and How to Achieve Real Reform</w:t>
      </w:r>
      <w:r>
        <w:t xml:space="preserve">(2017) (attributing much of the growth after the 1990s to increased felony filings by prosecutors).</w:t>
      </w:r>
    </w:p>
    <w:p>
      <w:pPr>
        <w:pStyle w:val="Heading2"/>
        <w:spacing w:after="120" w:before="240"/>
      </w:pPr>
      <w:r>
        <w:rPr>
          <w:b/>
          <w:bCs/>
        </w:rPr>
        <w:t xml:space="preserve">Effects on Families and Communities</w:t>
      </w:r>
    </w:p>
    <w:p>
      <w:pPr>
        <w:spacing w:after="160"/>
      </w:pPr>
      <w:r>
        <w:t xml:space="preserve">Roughly one in three U.S. adults has a criminal record, and an estimated one in two has had an immediate family member incarcerated. Parental incarceration is associated with household poverty, housing instability, and poorer educational outcomes for children. Distant placements and costly communications limit family contact. Collateral consequences of conviction, including barriers to employment, housing, licensing, and benefits, extend punishment beyond the sentence.</w:t>
      </w:r>
    </w:p>
    <w:p>
      <w:pPr>
        <w:pStyle w:val="Heading2"/>
        <w:spacing w:after="120" w:before="240"/>
      </w:pPr>
      <w:r>
        <w:rPr>
          <w:b/>
          <w:bCs/>
        </w:rPr>
        <w:t xml:space="preserve">Conditions of Confinement</w:t>
      </w:r>
    </w:p>
    <w:p>
      <w:pPr>
        <w:spacing w:after="160"/>
      </w:pPr>
      <w:r>
        <w:t xml:space="preserve">The Eighth Amendment prohibits deliberate indifference to serious medical needs,</w:t>
      </w:r>
      <w:r>
        <w:rPr>
          <w:i/>
          <w:iCs/>
        </w:rPr>
        <w:t xml:space="preserve">Estelle v. Gamble</w:t>
      </w:r>
      <w:r>
        <w:t xml:space="preserve">, 429 U.S. 97 (1976), and to substantial risks of serious harm,</w:t>
      </w:r>
      <w:r>
        <w:rPr>
          <w:i/>
          <w:iCs/>
        </w:rPr>
        <w:t xml:space="preserve">Farmer v. Brennan</w:t>
      </w:r>
      <w:r>
        <w:t xml:space="preserve">, 511 U.S. 825 (1994). Systemic overcrowding that prevents adequate medical and mental health care can violate the Constitution.</w:t>
      </w:r>
      <w:r>
        <w:rPr>
          <w:i/>
          <w:iCs/>
        </w:rPr>
        <w:t xml:space="preserve">Brown v. Plata</w:t>
      </w:r>
      <w:r>
        <w:t xml:space="preserve">, 563 U.S. 493 (2011). The Prison Litigation Reform Act, 42 U.S.C. § 1997e and 18 U.S.C. § 3626, requires exhaustion of administrative remedies and limits prospective relief, including population-reduction orders.</w:t>
      </w:r>
    </w:p>
    <w:p>
      <w:pPr>
        <w:pStyle w:val="Heading2"/>
        <w:spacing w:after="120" w:before="240"/>
      </w:pPr>
      <w:r>
        <w:rPr>
          <w:b/>
          <w:bCs/>
        </w:rPr>
        <w:t xml:space="preserve">Recidivism and Rehabilitation</w:t>
      </w:r>
    </w:p>
    <w:p>
      <w:pPr>
        <w:spacing w:after="160"/>
      </w:pPr>
      <w:r>
        <w:t xml:space="preserve">About 95 percent of people in state prisons will be released. Bureau of Justice Statistics studies of released state prisoners have found that most are rearrested within a few years; the most recent Bureau of Justice Statistics study (2012 releases) found 62 percent rearrested within three years and 71 percent within five. Rearrest does not necessarily mean reconviction or reincarceration. Correctional education, vocational training, substance use treatment, and mental health programming are associated with reduced recidivism and have favorable cost-benefit ratios. See Lois M. Davis et al., RAND Corp.,</w:t>
      </w:r>
      <w:r>
        <w:rPr>
          <w:i/>
          <w:iCs/>
        </w:rPr>
        <w:t xml:space="preserve">Evaluating the Effectiveness of Correctional Education</w:t>
      </w:r>
      <w:r>
        <w:t xml:space="preserve">(2013). Research also shows that offending declines sharply with age (the "age-crime curve"), which bears on the public safety value of very long sentences.</w:t>
      </w:r>
    </w:p>
    <w:p>
      <w:pPr>
        <w:pStyle w:val="Heading2"/>
        <w:spacing w:after="120" w:before="240"/>
      </w:pPr>
      <w:r>
        <w:rPr>
          <w:b/>
          <w:bCs/>
        </w:rPr>
        <w:t>Learning Objectives: Reforms</w:t>
      </w:r>
    </w:p>
    <w:p>
      <w:pPr>
        <w:pStyle w:val="ListParagraph"/>
        <w:numPr>
          <w:ilvl w:val="0"/>
          <w:numId w:val="1"/>
        </w:numPr>
        <w:spacing w:after="80"/>
      </w:pPr>
      <w:r>
        <w:t xml:space="preserve">Identify the fiscal, political, and legal forces behind state and federal reform since the mid-2000s.</w:t>
      </w:r>
    </w:p>
    <w:p>
      <w:pPr>
        <w:pStyle w:val="ListParagraph"/>
        <w:numPr>
          <w:ilvl w:val="0"/>
          <w:numId w:val="1"/>
        </w:numPr>
        <w:spacing w:after="80"/>
      </w:pPr>
      <w:r>
        <w:t xml:space="preserve">Explain the holding and remedial consequences of</w:t>
      </w:r>
      <w:r>
        <w:rPr>
          <w:i/>
          <w:iCs/>
        </w:rPr>
        <w:t xml:space="preserve">Brown v. Plata</w:t>
      </w:r>
      <w:r>
        <w:t xml:space="preserve">.</w:t>
      </w:r>
    </w:p>
    <w:p>
      <w:pPr>
        <w:pStyle w:val="ListParagraph"/>
        <w:numPr>
          <w:ilvl w:val="0"/>
          <w:numId w:val="1"/>
        </w:numPr>
        <w:spacing w:after="80"/>
      </w:pPr>
      <w:r>
        <w:t xml:space="preserve">Describe the U.S. Sentencing Commission's authority and major guideline amendments, including retroactivity.</w:t>
      </w:r>
    </w:p>
    <w:p>
      <w:pPr>
        <w:pStyle w:val="ListParagraph"/>
        <w:numPr>
          <w:ilvl w:val="0"/>
          <w:numId w:val="1"/>
        </w:numPr>
        <w:spacing w:after="80"/>
      </w:pPr>
      <w:r>
        <w:t xml:space="preserve">Analyze the legal framework governing prosecutorial charging and pretrial detention decisions.</w:t>
      </w:r>
    </w:p>
    <w:p>
      <w:pPr>
        <w:pStyle w:val="ListParagraph"/>
        <w:numPr>
          <w:ilvl w:val="0"/>
          <w:numId w:val="1"/>
        </w:numPr>
        <w:spacing w:after="80"/>
      </w:pPr>
      <w:r>
        <w:t xml:space="preserve">Evaluate diversion, correctional programming, and institutional design as reform strategies.</w:t>
      </w:r>
    </w:p>
    <w:p>
      <w:pPr>
        <w:pStyle w:val="Heading2"/>
        <w:spacing w:after="120" w:before="240"/>
      </w:pPr>
      <w:r>
        <w:rPr>
          <w:b/>
          <w:bCs/>
        </w:rPr>
        <w:t xml:space="preserve">Fiscally Driven State Reform</w:t>
      </w:r>
    </w:p>
    <w:p>
      <w:pPr>
        <w:spacing w:after="160"/>
      </w:pPr>
      <w:r>
        <w:t xml:space="preserve">Beginning in the mid-2000s, states facing rising corrections costs adopted "justice reinvestment" strategies. Texas's 2007 reforms funded treatment and diversion instead of new prison construction, and the conservative "Right on Crime" initiative emerged from that effort. Common measures included reclassifying low-level drug and property offenses, raising felony theft thresholds, expanding probation and parole alternatives, and investing in treatment.</w:t>
      </w:r>
    </w:p>
    <w:p>
      <w:pPr>
        <w:pStyle w:val="Heading2"/>
        <w:spacing w:after="120" w:before="240"/>
      </w:pPr>
      <w:r>
        <w:rPr>
          <w:b/>
          <w:bCs/>
        </w:rPr>
        <w:t xml:space="preserve">Brown v. Plata and California Realignment</w:t>
      </w:r>
    </w:p>
    <w:p>
      <w:pPr>
        <w:spacing w:after="160"/>
      </w:pPr>
      <w:r>
        <w:t xml:space="preserve">In</w:t>
      </w:r>
      <w:r>
        <w:rPr>
          <w:i/>
          <w:iCs/>
        </w:rPr>
        <w:t xml:space="preserve">Brown v. Plata</w:t>
      </w:r>
      <w:r>
        <w:t xml:space="preserve">, 563 U.S. 493 (2011), the Court affirmed, 5–4, a three-judge court order under the Prison Litigation Reform Act, 18 U.S.C. § 3626(a)(3), requiring California to reduce its prison population to 137.5 percent of design capacity. The Court found that overcrowding was the primary cause of constitutionally inadequate medical and mental health care. California responded with Public Safety Realignment (A.B. 109, 2011), which shifted responsibility for many lower-level offenders to counties along with state funding. Later voter initiatives included Proposition 47 (2014), which reclassified certain drug and theft offenses as misdemeanors; Proposition 57 (2016), which expanded parole consideration and credits; and Proposition 36 (2024), which increased penalties for certain theft and drug offenses.</w:t>
      </w:r>
    </w:p>
    <w:p>
      <w:pPr>
        <w:pStyle w:val="Heading2"/>
        <w:spacing w:after="120" w:before="240"/>
      </w:pPr>
      <w:r>
        <w:rPr>
          <w:b/>
          <w:bCs/>
        </w:rPr>
        <w:t xml:space="preserve">The U.S. Sentencing Commission</w:t>
      </w:r>
    </w:p>
    <w:p>
      <w:pPr>
        <w:spacing w:after="160"/>
      </w:pPr>
      <w:r>
        <w:t xml:space="preserve">The Commission is an independent agency in the judicial branch with seven voting members, no more than four from the same political party. 28 U.S.C. § 991. It promulgates guidelines and may make reductions retroactive. 28 U.S.C. § 994(o), (u); 18 U.S.C. § 3582(c)(2). Amendment 782 (2014), the "drugs minus two" amendment, reduced most drug trafficking offense levels by two, and Amendment 788 made it retroactive. Earlier crack-cocaine reductions (2007, 2011) and the Fair Sentencing Act of 2010, Pub. L. No. 111-220, which reduced the crack-to-powder ratio to 18-to-1, produced recidivism studies showing no increase in reoffending among those who received reductions. The guidelines are advisory after</w:t>
      </w:r>
      <w:r>
        <w:rPr>
          <w:i/>
          <w:iCs/>
        </w:rPr>
        <w:t xml:space="preserve">United States v. Booker</w:t>
      </w:r>
      <w:r>
        <w:t xml:space="preserve">, 543 U.S. 220 (2005), but remain the starting point for federal sentencing.</w:t>
      </w:r>
      <w:r>
        <w:rPr>
          <w:i/>
          <w:iCs/>
        </w:rPr>
        <w:t xml:space="preserve">Gall v. United States</w:t>
      </w:r>
      <w:r>
        <w:t xml:space="preserve">, 552 U.S. 38 (2007).</w:t>
      </w:r>
    </w:p>
    <w:p>
      <w:pPr>
        <w:pStyle w:val="Heading2"/>
        <w:spacing w:after="120" w:before="240"/>
      </w:pPr>
      <w:r>
        <w:rPr>
          <w:b/>
          <w:bCs/>
        </w:rPr>
        <w:t xml:space="preserve">Prosecutorial Discretion</w:t>
      </w:r>
    </w:p>
    <w:p>
      <w:pPr>
        <w:pStyle w:val="ListParagraph"/>
        <w:numPr>
          <w:ilvl w:val="0"/>
          <w:numId w:val="1"/>
        </w:numPr>
        <w:spacing w:after="80"/>
      </w:pPr>
      <w:r>
        <w:rPr>
          <w:b/>
          <w:bCs/>
        </w:rPr>
        <w:t xml:space="preserve">Charging.</w:t>
      </w:r>
      <w:r>
        <w:t xml:space="preserve">Charging decisions are largely unreviewable, subject to equal protection limits.</w:t>
      </w:r>
      <w:r>
        <w:rPr>
          <w:i/>
          <w:iCs/>
        </w:rPr>
        <w:t xml:space="preserve">Wayte v. United States</w:t>
      </w:r>
      <w:r>
        <w:t xml:space="preserve">, 470 U.S. 598 (1985);</w:t>
      </w:r>
      <w:r>
        <w:rPr>
          <w:i/>
          <w:iCs/>
        </w:rPr>
        <w:t xml:space="preserve">United States v. Armstrong</w:t>
      </w:r>
      <w:r>
        <w:t xml:space="preserve">, 517 U.S. 456 (1996) (demanding standard for discovery on selective prosecution claims). Prosecutors may use the threat of more serious charges in plea bargaining.</w:t>
      </w:r>
      <w:r>
        <w:rPr>
          <w:i/>
          <w:iCs/>
        </w:rPr>
        <w:t xml:space="preserve">Bordenkircher v. Hayes</w:t>
      </w:r>
      <w:r>
        <w:t xml:space="preserve">, 434 U.S. 357 (1978).</w:t>
      </w:r>
    </w:p>
    <w:p>
      <w:pPr>
        <w:pStyle w:val="ListParagraph"/>
        <w:numPr>
          <w:ilvl w:val="0"/>
          <w:numId w:val="1"/>
        </w:numPr>
        <w:spacing w:after="80"/>
      </w:pPr>
      <w:r>
        <w:rPr>
          <w:b/>
          <w:bCs/>
        </w:rPr>
        <w:t xml:space="preserve">Pretrial detention.</w:t>
      </w:r>
      <w:r>
        <w:t xml:space="preserve">Preventive detention based on dangerousness is constitutional with adequate procedures.</w:t>
      </w:r>
      <w:r>
        <w:rPr>
          <w:i/>
          <w:iCs/>
        </w:rPr>
        <w:t xml:space="preserve">United States v. Salerno</w:t>
      </w:r>
      <w:r>
        <w:t xml:space="preserve">, 481 U.S. 739 (1987); 18 U.S.C. § 3142. In many state systems, prosecutors' bail requests heavily influence who is detained. Jails hold roughly a third of incarcerated people, most of them unconvicted; people held pretrial make up nearly a quarter of all incarcerated people.</w:t>
      </w:r>
    </w:p>
    <w:p>
      <w:pPr>
        <w:pStyle w:val="ListParagraph"/>
        <w:numPr>
          <w:ilvl w:val="0"/>
          <w:numId w:val="1"/>
        </w:numPr>
        <w:spacing w:after="80"/>
      </w:pPr>
      <w:r>
        <w:rPr>
          <w:b/>
          <w:bCs/>
        </w:rPr>
        <w:t xml:space="preserve">Mandatory minimums.</w:t>
      </w:r>
      <w:r>
        <w:t xml:space="preserve">When a charge carries a statutory minimum, the prosecutor's charging decision effectively sets the floor of the sentence.</w:t>
      </w:r>
    </w:p>
    <w:p>
      <w:pPr>
        <w:pStyle w:val="ListParagraph"/>
        <w:numPr>
          <w:ilvl w:val="0"/>
          <w:numId w:val="1"/>
        </w:numPr>
        <w:spacing w:after="80"/>
      </w:pPr>
      <w:r>
        <w:rPr>
          <w:b/>
          <w:bCs/>
        </w:rPr>
        <w:t xml:space="preserve">Federal policy.</w:t>
      </w:r>
      <w:r>
        <w:t xml:space="preserve">The Justice Manual directs federal prosecutors to charge the most serious readily provable offense, subject to periodic revision by Attorneys General. Justice Manual § 9-27.300.</w:t>
      </w:r>
    </w:p>
    <w:p>
      <w:pPr>
        <w:pStyle w:val="Heading2"/>
        <w:spacing w:after="120" w:before="240"/>
      </w:pPr>
      <w:r>
        <w:rPr>
          <w:b/>
          <w:bCs/>
        </w:rPr>
        <w:t xml:space="preserve">Marijuana and the Composition of Prison Populations</w:t>
      </w:r>
    </w:p>
    <w:p>
      <w:pPr>
        <w:spacing w:after="160"/>
      </w:pPr>
      <w:r>
        <w:t xml:space="preserve">Drug offenses account for roughly one in five people incarcerated in the United States, and marijuana offenses for a small fraction of that. More than half of people in state prisons are serving sentences for violent offenses. Marijuana remains a controlled substance under federal law, 21 U.S.C. § 812, although many states have legalized adult use. Reducing incarceration substantially therefore requires addressing sentence lengths for serious and violent offenses as well as drug and property crimes.</w:t>
      </w:r>
    </w:p>
    <w:p>
      <w:pPr>
        <w:pStyle w:val="Heading2"/>
        <w:spacing w:after="120" w:before="240"/>
      </w:pPr>
      <w:r>
        <w:rPr>
          <w:b/>
          <w:bCs/>
        </w:rPr>
        <w:t xml:space="preserve">Age, Juveniles, and Sentence Length</w:t>
      </w:r>
    </w:p>
    <w:p>
      <w:pPr>
        <w:spacing w:after="160"/>
      </w:pPr>
      <w:r>
        <w:t xml:space="preserve">Criminal offending peaks in late adolescence and early adulthood and declines with age. The Supreme Court has recognized juveniles' diminished culpability.</w:t>
      </w:r>
      <w:r>
        <w:rPr>
          <w:i/>
          <w:iCs/>
        </w:rPr>
        <w:t xml:space="preserve">Roper v. Simmons</w:t>
      </w:r>
      <w:r>
        <w:t xml:space="preserve">, 543 U.S. 551 (2005) (no death penalty);</w:t>
      </w:r>
      <w:r>
        <w:rPr>
          <w:i/>
          <w:iCs/>
        </w:rPr>
        <w:t xml:space="preserve">Graham v. Florida</w:t>
      </w:r>
      <w:r>
        <w:t xml:space="preserve">, 560 U.S. 48 (2010) (no life without parole for non-homicide offenses);</w:t>
      </w:r>
      <w:r>
        <w:rPr>
          <w:i/>
          <w:iCs/>
        </w:rPr>
        <w:t xml:space="preserve">Miller v. Alabama</w:t>
      </w:r>
      <w:r>
        <w:t xml:space="preserve">, 567 U.S. 460 (2012) (no mandatory life without parole);</w:t>
      </w:r>
      <w:r>
        <w:rPr>
          <w:i/>
          <w:iCs/>
        </w:rPr>
        <w:t xml:space="preserve">Montgomery v. Louisiana</w:t>
      </w:r>
      <w:r>
        <w:t xml:space="preserve">, 577 U.S. 190 (2016) (</w:t>
      </w:r>
      <w:r>
        <w:rPr>
          <w:i/>
          <w:iCs/>
        </w:rPr>
        <w:t xml:space="preserve">Miller</w:t>
      </w:r>
      <w:r>
        <w:t xml:space="preserve">is retroactive);</w:t>
      </w:r>
      <w:r>
        <w:rPr>
          <w:i/>
          <w:iCs/>
        </w:rPr>
        <w:t xml:space="preserve">Jones v. Mississippi</w:t>
      </w:r>
      <w:r>
        <w:t xml:space="preserve">, 593 U.S. 98 (2021) (no separate finding of permanent incorrigibility required).</w:t>
      </w:r>
    </w:p>
    <w:p>
      <w:pPr>
        <w:pStyle w:val="Heading2"/>
        <w:spacing w:after="120" w:before="240"/>
      </w:pPr>
      <w:r>
        <w:rPr>
          <w:b/>
          <w:bCs/>
        </w:rPr>
        <w:t xml:space="preserve">Diversion and Problem-Solving Courts</w:t>
      </w:r>
    </w:p>
    <w:p>
      <w:pPr>
        <w:spacing w:after="160"/>
      </w:pPr>
      <w:r>
        <w:t xml:space="preserve">Diversion may occur at the police, prosecutorial, or judicial stage. Mental health courts, drug courts, and veterans courts combine treatment and supervision, often with dismissal on completion. Miami-Dade County's Criminal Mental Health Project is a frequently cited model. Evaluations generally find reduced recidivism and lower costs compared with incarceration for appropriately selected participants. Deterrence research indicates that the certainty of apprehension matters more than the severity of punishment. See National Institute of Justice,</w:t>
      </w:r>
      <w:r>
        <w:rPr>
          <w:i/>
          <w:iCs/>
        </w:rPr>
        <w:t xml:space="preserve">Five Things About Deterrence</w:t>
      </w:r>
      <w:r>
        <w:t xml:space="preserve">(2016).</w:t>
      </w:r>
    </w:p>
    <w:p>
      <w:pPr>
        <w:pStyle w:val="Heading2"/>
        <w:spacing w:after="120" w:before="240"/>
      </w:pPr>
      <w:r>
        <w:rPr>
          <w:b/>
          <w:bCs/>
        </w:rPr>
        <w:t xml:space="preserve">Correctional Programming and Prison Labor</w:t>
      </w:r>
    </w:p>
    <w:p>
      <w:pPr>
        <w:spacing w:after="160"/>
      </w:pPr>
      <w:r>
        <w:t xml:space="preserve">Reentry planning beginning at admission, together with education, vocational training, substance use treatment, and cognitive behavioral programs, reduces recidivism. Prison labor is exempt from the Thirteenth Amendment's prohibition on involuntary servitude "as a punishment for crime." Several states have amended their constitutions to remove that exception, and wage levels remain a policy debate.</w:t>
      </w:r>
    </w:p>
    <w:p>
      <w:pPr>
        <w:pStyle w:val="Heading2"/>
        <w:spacing w:after="120" w:before="240"/>
      </w:pPr>
      <w:r>
        <w:rPr>
          <w:b/>
          <w:bCs/>
        </w:rPr>
        <w:t xml:space="preserve">Institutional Design</w:t>
      </w:r>
    </w:p>
    <w:p>
      <w:pPr>
        <w:spacing w:after="160"/>
      </w:pPr>
      <w:r>
        <w:t xml:space="preserve">Professor Barkow argues that expert agencies insulated from electoral pressure, such as sentencing commissions, together with judicial enforcement of constitutional limits, are more likely than ordinary legislative politics to produce evidence-based criminal justice policy. See Rachel Elise Barkow,</w:t>
      </w:r>
      <w:r>
        <w:rPr>
          <w:i/>
          <w:iCs/>
        </w:rPr>
        <w:t xml:space="preserve">Prisoners of Politics</w:t>
      </w:r>
      <w:r>
        <w:t xml:space="preserve">(2019).</w:t>
      </w:r>
    </w:p>
    <w:p>
      <w:pPr>
        <w:pStyle w:val="Heading2"/>
        <w:spacing w:after="120" w:before="240"/>
      </w:pPr>
      <w:r>
        <w:rPr>
          <w:b/>
          <w:bCs/>
        </w:rPr>
        <w:t xml:space="preserve">Developments to Know</w:t>
      </w:r>
    </w:p>
    <w:p>
      <w:pPr>
        <w:pStyle w:val="ListParagraph"/>
        <w:numPr>
          <w:ilvl w:val="0"/>
          <w:numId w:val="1"/>
        </w:numPr>
        <w:spacing w:after="80"/>
      </w:pPr>
      <w:r>
        <w:rPr>
          <w:b/>
          <w:bCs/>
        </w:rPr>
        <w:t xml:space="preserve">Population trends.</w:t>
      </w:r>
      <w:r>
        <w:t xml:space="preserve">The incarcerated population fell to its lowest level in decades during the COVID-19 pandemic and has partially rebounded since. The U.S. rate remains among the highest in the world.</w:t>
      </w:r>
    </w:p>
    <w:p>
      <w:pPr>
        <w:pStyle w:val="ListParagraph"/>
        <w:numPr>
          <w:ilvl w:val="0"/>
          <w:numId w:val="1"/>
        </w:numPr>
        <w:spacing w:after="80"/>
      </w:pPr>
      <w:r>
        <w:rPr>
          <w:b/>
          <w:bCs/>
        </w:rPr>
        <w:t xml:space="preserve">Crime trends.</w:t>
      </w:r>
      <w:r>
        <w:t xml:space="preserve">Homicides and other violent crime rose sharply in 2020–2021, then declined substantially in 2023–2024, which fuels competing arguments about the relationship between reform and public safety.</w:t>
      </w:r>
    </w:p>
    <w:p>
      <w:pPr>
        <w:pStyle w:val="ListParagraph"/>
        <w:numPr>
          <w:ilvl w:val="0"/>
          <w:numId w:val="1"/>
        </w:numPr>
        <w:spacing w:after="80"/>
      </w:pPr>
      <w:r>
        <w:rPr>
          <w:b/>
          <w:bCs/>
        </w:rPr>
        <w:t xml:space="preserve">Pell Grants.</w:t>
      </w:r>
      <w:r>
        <w:t xml:space="preserve">The FAFSA Simplification Act (enacted in the Consolidated Appropriations Act, 2021) restored Pell Grant eligibility for incarcerated students in approved prison education programs, effective July 1, 2023.</w:t>
      </w:r>
    </w:p>
    <w:p>
      <w:pPr>
        <w:pStyle w:val="ListParagraph"/>
        <w:numPr>
          <w:ilvl w:val="0"/>
          <w:numId w:val="1"/>
        </w:numPr>
        <w:spacing w:after="80"/>
      </w:pPr>
      <w:r>
        <w:rPr>
          <w:b/>
          <w:bCs/>
        </w:rPr>
        <w:t xml:space="preserve">Communications costs.</w:t>
      </w:r>
      <w:r>
        <w:t xml:space="preserve">The Martha Wright-Reed Just and Reasonable Communications Act of 2022 (Pub. L. No. 117-338) authorized the FCC to regulate rates for incarcerated people's audio and video communications. The FCC adopted new rate caps in 2024, then in October 2025 replaced them with higher interim caps plus a facility-cost add-on while it works on permanent caps.</w:t>
      </w:r>
    </w:p>
    <w:p>
      <w:pPr>
        <w:pStyle w:val="ListParagraph"/>
        <w:numPr>
          <w:ilvl w:val="0"/>
          <w:numId w:val="1"/>
        </w:numPr>
        <w:spacing w:after="80"/>
      </w:pPr>
      <w:r>
        <w:rPr>
          <w:b/>
          <w:bCs/>
        </w:rPr>
        <w:t xml:space="preserve">Clean slate laws.</w:t>
      </w:r>
      <w:r>
        <w:t xml:space="preserve">States including Pennsylvania (2018), Michigan (2020), and New York (2023) enacted automatic sealing of many older conviction records.</w:t>
      </w:r>
    </w:p>
    <w:p>
      <w:pPr>
        <w:pStyle w:val="ListParagraph"/>
        <w:numPr>
          <w:ilvl w:val="0"/>
          <w:numId w:val="1"/>
        </w:numPr>
        <w:spacing w:after="80"/>
      </w:pPr>
      <w:r>
        <w:rPr>
          <w:b/>
          <w:bCs/>
        </w:rPr>
        <w:t xml:space="preserve">License suspensions.</w:t>
      </w:r>
      <w:r>
        <w:t xml:space="preserve">Many states have opted out of 23 U.S.C. § 159 or repealed suspensions for drug convictions and for unpaid fines and fees.</w:t>
      </w:r>
    </w:p>
    <w:p>
      <w:pPr>
        <w:pStyle w:val="ListParagraph"/>
        <w:numPr>
          <w:ilvl w:val="0"/>
          <w:numId w:val="1"/>
        </w:numPr>
        <w:spacing w:after="80"/>
      </w:pPr>
      <w:r>
        <w:rPr>
          <w:b/>
          <w:bCs/>
        </w:rPr>
        <w:t xml:space="preserve">First Step Act of 2018</w:t>
      </w:r>
      <w:r>
        <w:t xml:space="preserve">(Pub. L. No. 115-391). The act made the Fair Sentencing Act retroactive, narrowed certain mandatory minimums and § 924(c) stacking, expanded the safety valve, created earned-time credits under a risk-and-needs assessment system, and authorized defendants to move for compassionate release. 18 U.S.C. § 3582(c)(1)(A). See</w:t>
      </w:r>
      <w:r>
        <w:rPr>
          <w:i/>
          <w:iCs/>
        </w:rPr>
        <w:t xml:space="preserve">Pulsifer v. United States</w:t>
      </w:r>
      <w:r>
        <w:t xml:space="preserve">, 601 U.S. 124 (2024) (narrow reading of safety-valve eligibility);</w:t>
      </w:r>
      <w:r>
        <w:rPr>
          <w:i/>
          <w:iCs/>
        </w:rPr>
        <w:t xml:space="preserve">Hewitt v. United States</w:t>
      </w:r>
      <w:r>
        <w:t xml:space="preserve">(2025) (First Step Act's § 924(c) reductions apply at resentencing after vacatur);</w:t>
      </w:r>
      <w:r>
        <w:rPr>
          <w:i/>
          <w:iCs/>
        </w:rPr>
        <w:t xml:space="preserve">Rutherford v. United States</w:t>
      </w:r>
      <w:r>
        <w:t xml:space="preserve">(2026) (6–3) (sentencing disparities from nonretroactive changes in law, such as the First Step Act's § 924(c) change, cannot be an "extraordinary and compelling" reason for compassionate release, undercutting U.S.S.G. § 1B1.13(b)(6)).</w:t>
      </w:r>
    </w:p>
    <w:p>
      <w:pPr>
        <w:pStyle w:val="ListParagraph"/>
        <w:numPr>
          <w:ilvl w:val="0"/>
          <w:numId w:val="1"/>
        </w:numPr>
        <w:spacing w:after="80"/>
      </w:pPr>
      <w:r>
        <w:rPr>
          <w:b/>
          <w:bCs/>
        </w:rPr>
        <w:t xml:space="preserve">Sentencing Commission amendments.</w:t>
      </w:r>
      <w:r>
        <w:t xml:space="preserve">After regaining a quorum in 2022, the Commission revised the compassionate release policy statement (§ 1B1.13, 2023), created a reduction for "zero-point" offenders (§ 4C1.1) and limited "status points" (§ 4A1.1(e)), made those two changes retroactive, and restricted the use of acquitted conduct (§ 1B1.3(c), 2024).</w:t>
      </w:r>
    </w:p>
    <w:p>
      <w:pPr>
        <w:pStyle w:val="ListParagraph"/>
        <w:numPr>
          <w:ilvl w:val="0"/>
          <w:numId w:val="1"/>
        </w:numPr>
        <w:spacing w:after="80"/>
      </w:pPr>
      <w:r>
        <w:rPr>
          <w:b/>
          <w:bCs/>
        </w:rPr>
        <w:t xml:space="preserve">Prosecutors.</w:t>
      </w:r>
      <w:r>
        <w:t xml:space="preserve">Reform-oriented prosecutors have had mixed electoral results, including reelection in Philadelphia, a recall in San Francisco (2022), and defeat in Los Angeles (2024). In 2025, the Justice Department reinstated a policy directing prosecutors to charge the most serious readily provable offense.</w:t>
      </w:r>
    </w:p>
    <w:p>
      <w:pPr>
        <w:pStyle w:val="ListParagraph"/>
        <w:numPr>
          <w:ilvl w:val="0"/>
          <w:numId w:val="1"/>
        </w:numPr>
        <w:spacing w:after="80"/>
      </w:pPr>
      <w:r>
        <w:rPr>
          <w:b/>
          <w:bCs/>
        </w:rPr>
        <w:t xml:space="preserve">Marijuana.</w:t>
      </w:r>
      <w:r>
        <w:t xml:space="preserve">Presidential proclamations in 2022 and 2023 pardoned federal simple possession offenses, and the Justice Department proposed rescheduling marijuana to Schedule III in 2024. After a December 2025 executive order, a DEA final order effective April 28, 2026 moved FDA-approved products and state-licensed medical marijuana to Schedule III, and a hearing on broader rescheduling began in June 2026. More than 20 states have legalized adult use.</w:t>
      </w:r>
    </w:p>
    <w:p>
      <w:pPr>
        <w:pStyle w:val="ListParagraph"/>
        <w:numPr>
          <w:ilvl w:val="0"/>
          <w:numId w:val="1"/>
        </w:numPr>
        <w:spacing w:after="80"/>
      </w:pPr>
      <w:r>
        <w:rPr>
          <w:b/>
          <w:bCs/>
        </w:rPr>
        <w:t xml:space="preserve">State reform and backlash.</w:t>
      </w:r>
      <w:r>
        <w:t xml:space="preserve">California's Proposition 36 (2024) and revisions to New York's bail and discovery laws reflect renewed concern about crime, while clean slate laws, the abolition of juvenile life without parole in many states, and expanded mental health crisis response continue.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2026-09-28T18:12:34.380Z</dcterms:created>
  <dcterms:modified xsi:type="dcterms:W3CDTF">2026-09-28T18:12:34.380Z</dcterms:modified>
</cp:coreProperties>
</file>

<file path=docProps/custom.xml><?xml version="1.0" encoding="utf-8"?>
<Properties xmlns="http://schemas.openxmlformats.org/officeDocument/2006/custom-properties" xmlns:vt="http://schemas.openxmlformats.org/officeDocument/2006/docPropsVTypes"/>
</file>