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Hate Speech in America</w:t>
      </w:r>
    </w:p>
    <w:p>
      <w:pPr>
        <w:spacing w:after="200"/>
      </w:pPr>
      <w:r>
        <w:rPr>
          <w:rFonts w:ascii="Montserrat" w:cs="Montserrat" w:eastAsia="Montserrat" w:hAnsi="Montserrat"/>
          <w:b/>
          <w:bCs/>
          <w:color w:val="E87722"/>
          <w:sz w:val="24"/>
          <w:szCs w:val="24"/>
        </w:rPr>
        <w:t xml:space="preserve">Lee Rowland</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surveys the First Amendment doctrine governing hateful, racist, and violent speech, focusing on the categories of expression that fall outside constitutional protection and the principal Supreme Court decisions defining them. It explains why "hate speech" is not a category in American law, in contrast to European systems, and examines the historical development of incitement doctrine through cases involving both white supremacist and civil rights speakers.</w:t>
      </w:r>
    </w:p>
    <w:p>
      <w:pPr>
        <w:spacing w:after="160"/>
      </w:pPr>
      <w:r>
        <w:t xml:space="preserve">This program examines the First Amendment's application to hateful and offensive speech in public demonstrations, including the public forum doctrine, the distinction between targeted threats and group expression, liability for violence at protests, and the emerging conflict between First Amendment assembly rights and Second Amendment rights to carry firearms. It draws on National Socialist Party of America v. Village of Skokie and the 2017 Unite the Right rally in Charlottesville, Virginia.</w:t>
      </w:r>
    </w:p>
    <w:p>
      <w:pPr>
        <w:pStyle w:val="Heading2"/>
        <w:spacing w:after="120" w:before="240"/>
      </w:pPr>
      <w:r>
        <w:rPr>
          <w:b/>
          <w:bCs/>
        </w:rPr>
        <w:t xml:space="preserve">The Structure of First Amendment Protection</w:t>
      </w:r>
    </w:p>
    <w:p>
      <w:pPr>
        <w:spacing w:after="160"/>
      </w:pPr>
      <w:r>
        <w:t xml:space="preserve">Although the First Amendment's text is absolute, a century of case law treats it as an enforceable individual right subject to narrow, judicially defined exceptions. In the criminal context, four categories of speech may be regulated on the basis of content: obscenity, fighting words, true threats, and incitement.</w:t>
      </w:r>
    </w:p>
    <w:p>
      <w:pPr>
        <w:pStyle w:val="Heading2"/>
        <w:spacing w:after="120" w:before="240"/>
      </w:pPr>
      <w:r>
        <w:rPr>
          <w:b/>
          <w:bCs/>
        </w:rPr>
        <w:t xml:space="preserve">Obscenity and Fighting Words</w:t>
      </w:r>
    </w:p>
    <w:p>
      <w:pPr>
        <w:spacing w:after="160"/>
      </w:pPr>
      <w:r>
        <w:t xml:space="preserve">Obscenity, defined in Miller v. California (1973), requires material that appeals to the prurient interest, is patently offensive under contemporary community standards, and lacks serious value. Fighting words, recognized in Chaplinsky v. New Hampshire (1942), are face-to-face insults likely to provoke an immediate violent response. The guest characterizes Chaplinsky, which upheld the conviction of a man who called a police officer a fascist and a racketeer, as technically good law but inconsistent with modern First Amendment understanding, and regards the doctrine as largely dormant.</w:t>
      </w:r>
    </w:p>
    <w:p>
      <w:pPr>
        <w:pStyle w:val="Heading2"/>
        <w:spacing w:after="120" w:before="240"/>
      </w:pPr>
      <w:r>
        <w:rPr>
          <w:b/>
          <w:bCs/>
        </w:rPr>
        <w:t xml:space="preserve">True Threats and Incitement</w:t>
      </w:r>
    </w:p>
    <w:p>
      <w:pPr>
        <w:spacing w:after="160"/>
      </w:pPr>
      <w:r>
        <w:t xml:space="preserve">True threats are statements intended to, and likely to, place a reasonable person in fear of physical harm; the speaker's capacity to carry out the threat is not required, as the harm addressed is the fear itself. Incitement, under Brandenburg v. Ohio (1969), is advocacy directed to inciting or producing imminent lawless action and likely to produce such action. Both categories rest on the same rationale: speech so closely connected to imminent violence that it may be treated as the beginning of a violent act. Incitement differs from threats in that the violence is to be committed by a third party, and from criminal solicitation in that it consists of words alone.</w:t>
      </w:r>
    </w:p>
    <w:p>
      <w:pPr>
        <w:pStyle w:val="Heading2"/>
        <w:spacing w:after="120" w:before="240"/>
      </w:pPr>
      <w:r>
        <w:rPr>
          <w:b/>
          <w:bCs/>
        </w:rPr>
        <w:t xml:space="preserve">Hate Speech Is Not a Legal Category</w:t>
      </w:r>
    </w:p>
    <w:p>
      <w:pPr>
        <w:spacing w:after="160"/>
      </w:pPr>
      <w:r>
        <w:t xml:space="preserve">The guest emphasizes that "hate speech" has no meaning in American constitutional law. Speech expressing hatred toward a group is regulable only if it falls within one of the recognized categories. By contrast, European Union law and the laws of many European states prohibit expression, including symbols, that conveys hatred toward protected groups, a distinction attributable to the absence of a First Amendment analogue.</w:t>
      </w:r>
    </w:p>
    <w:p>
      <w:pPr>
        <w:pStyle w:val="Heading2"/>
        <w:spacing w:after="120" w:before="240"/>
      </w:pPr>
      <w:r>
        <w:rPr>
          <w:b/>
          <w:bCs/>
        </w:rPr>
        <w:t xml:space="preserve">Brandenburg v. Ohio</w:t>
      </w:r>
    </w:p>
    <w:p>
      <w:pPr>
        <w:spacing w:after="160"/>
      </w:pPr>
      <w:r>
        <w:t xml:space="preserve">In Brandenburg, a Ku Klux Klan leader was convicted under Ohio's criminal syndicalism statute, originally enacted against Communists, for a speech advocating "revengeance" against Black and Jewish Americans. The Supreme Court reversed, holding that the First Amendment protects advocacy of violence unless it is directed to and likely to produce imminent lawless action. The guest observes that the speech was not specific as to target or time and that the decision, arriving after decades of decisions upholding convictions of Communists and religious pamphleteers, represented the first major protection of political speech at the Court, secured by a white supremacist.</w:t>
      </w:r>
    </w:p>
    <w:p>
      <w:pPr>
        <w:pStyle w:val="Heading2"/>
        <w:spacing w:after="120" w:before="240"/>
      </w:pPr>
      <w:r>
        <w:rPr>
          <w:b/>
          <w:bCs/>
        </w:rPr>
        <w:t xml:space="preserve">Schenck and the Early Doctrine</w:t>
      </w:r>
    </w:p>
    <w:p>
      <w:pPr>
        <w:spacing w:after="160"/>
      </w:pPr>
      <w:r>
        <w:t xml:space="preserve">Schenck v. United States (1919) upheld the conviction of an anti-war pamphleteer under a "clear and present danger" standard, while acknowledging that speech protected in peacetime might be restricted in wartime. The guest identifies a continuing tendency, exemplified by Holder v. Humanitarian Law Project (2010), which upheld the application of the material support statute to nonviolent advocacy training for designated terrorist organizations, for national security concerns to produce results difficult to reconcile with First Amendment doctrine.</w:t>
      </w:r>
    </w:p>
    <w:p>
      <w:pPr>
        <w:pStyle w:val="Heading2"/>
        <w:spacing w:after="120" w:before="240"/>
      </w:pPr>
      <w:r>
        <w:rPr>
          <w:b/>
          <w:bCs/>
        </w:rPr>
        <w:t xml:space="preserve">NAACP v. Claiborne Hardware Co.</w:t>
      </w:r>
    </w:p>
    <w:p>
      <w:pPr>
        <w:spacing w:after="160"/>
      </w:pPr>
      <w:r>
        <w:t xml:space="preserve">In Claiborne Hardware (1982), white merchants sued the NAACP and civil rights leader Charles Evers for damages arising from a boycott, alleging incitement based on Evers's statements that those who broke the boycott would have their necks broken. The Supreme Court applied Brandenburg and held the speech protected. The guest reads the opinion as evidencing greater judicial difficulty in extending the rule to a civil rights leader than to a Klan leader, and argues that the value of content-neutral doctrine lies precisely in its capacity to be extended to the less powerful.</w:t>
      </w:r>
    </w:p>
    <w:p>
      <w:pPr>
        <w:pStyle w:val="Heading2"/>
        <w:spacing w:after="120" w:before="240"/>
      </w:pPr>
      <w:r>
        <w:rPr>
          <w:b/>
          <w:bCs/>
        </w:rPr>
        <w:t xml:space="preserve">Content Neutrality and the Allocation of Power</w:t>
      </w:r>
    </w:p>
    <w:p>
      <w:pPr>
        <w:spacing w:after="160"/>
      </w:pPr>
      <w:r>
        <w:t xml:space="preserve">The guest concludes that the First Amendment operates as a social contract withholding from the government the authority to decide which speakers may be heard. Because the same doctrine must apply regardless of the speaker's viewpoint, protection extended to a racist speaker becomes available to an anti-racist one, and the alternative of governmental discretion would vest that power in officials whom no citizen would trust across the political spectrum.</w:t>
      </w:r>
    </w:p>
    <w:p>
      <w:pPr>
        <w:pStyle w:val="Heading2"/>
        <w:spacing w:after="120" w:before="240"/>
      </w:pPr>
      <w:r>
        <w:rPr>
          <w:b/>
          <w:bCs/>
        </w:rPr>
        <w:t xml:space="preserve">The Skokie Case</w:t>
      </w:r>
    </w:p>
    <w:p>
      <w:pPr>
        <w:spacing w:after="160"/>
      </w:pPr>
      <w:r>
        <w:t xml:space="preserve">In the late 1970s, members of the National Socialist Party of America sought permits to march in Skokie, Illinois, a community with a substantial population of Holocaust survivors. After the village denied the permits, the ACLU represented the marchers, and the Illinois Supreme Court and federal courts held that the display of the swastika in a public march was protected expression that could not be enjoined as fighting words; the United States Supreme Court declined to disturb the result. The guest characterizes the case as the most controversial in the ACLU's history and the speech as maximally hateful, while affirming the outcome. The march ultimately did not occur.</w:t>
      </w:r>
    </w:p>
    <w:p>
      <w:pPr>
        <w:pStyle w:val="Heading2"/>
        <w:spacing w:after="120" w:before="240"/>
      </w:pPr>
      <w:r>
        <w:rPr>
          <w:b/>
          <w:bCs/>
        </w:rPr>
        <w:t xml:space="preserve">The Public Forum Doctrine</w:t>
      </w:r>
    </w:p>
    <w:p>
      <w:pPr>
        <w:spacing w:after="160"/>
      </w:pPr>
      <w:r>
        <w:t xml:space="preserve">Streets, sidewalks, and public parks are traditional public forums in which First Amendment rights receive their strongest protection and content-based restrictions are subject to strict scrutiny. The guest explains that these are the historical sites of civic deliberation and that the government bears a heavy burden to justify excluding speakers from them.</w:t>
      </w:r>
    </w:p>
    <w:p>
      <w:pPr>
        <w:pStyle w:val="Heading2"/>
        <w:spacing w:after="120" w:before="240"/>
      </w:pPr>
      <w:r>
        <w:rPr>
          <w:b/>
          <w:bCs/>
        </w:rPr>
        <w:t xml:space="preserve">Targeted Speech Versus Group Expression</w:t>
      </w:r>
    </w:p>
    <w:p>
      <w:pPr>
        <w:spacing w:after="160"/>
      </w:pPr>
      <w:r>
        <w:t xml:space="preserve">The guest identifies the degree of targeting as the central variable. A hateful statement directed at a specific individual in a threatening manner may constitute a true threat prosecutable under state law, and most courts would reject a First Amendment defense. The same message expressed by a large group in a public forum, not directed at a specific person, is protected assembly, notwithstanding that a crowd presents a greater risk of violence, a tension the guest acknowledges the doctrine has not fully resolved.</w:t>
      </w:r>
    </w:p>
    <w:p>
      <w:pPr>
        <w:pStyle w:val="Heading2"/>
        <w:spacing w:after="120" w:before="240"/>
      </w:pPr>
      <w:r>
        <w:rPr>
          <w:b/>
          <w:bCs/>
        </w:rPr>
        <w:t xml:space="preserve">Liability for Violence at Demonstrations</w:t>
      </w:r>
    </w:p>
    <w:p>
      <w:pPr>
        <w:spacing w:after="160"/>
      </w:pPr>
      <w:r>
        <w:t xml:space="preserve">The guest emphasizes that organizers of a predominantly peaceful protest are not liable for the independent violent acts of individual participants, citing the presence of violent "black bloc" participants at otherwise lawful demonstrations. Guilt by association is inconsistent with the First Amendment's protection of assembly.</w:t>
      </w:r>
    </w:p>
    <w:p>
      <w:pPr>
        <w:pStyle w:val="Heading2"/>
        <w:spacing w:after="120" w:before="240"/>
      </w:pPr>
      <w:r>
        <w:rPr>
          <w:b/>
          <w:bCs/>
        </w:rPr>
        <w:t xml:space="preserve">Charlottesville and Unite the Right</w:t>
      </w:r>
    </w:p>
    <w:p>
      <w:pPr>
        <w:spacing w:after="160"/>
      </w:pPr>
      <w:r>
        <w:t xml:space="preserve">The organizers of the August 2017 Unite the Right rally held a valid permit for a demonstration at the Robert E. Lee statue in Charlottesville. Shortly before the event, the city sought to revoke the permit and relocate the rally; the ACLU of Virginia obtained an order requiring the city to justify the change, which the court found it had not done. Following a torch-lit march on the preceding evening and a larger-than-anticipated crowd, police declared a state of emergency minutes before the permitted rally was to begin, dispersing demonstrators and counter-demonstrators without a security plan. Heather Heyer was killed and others injured when a participant drove into a crowd. The guest maintains that the rally was protected political speech and that subsequent state review found law enforcement failed to fulfill its role of securing the demonstration.</w:t>
      </w:r>
    </w:p>
    <w:p>
      <w:pPr>
        <w:pStyle w:val="Heading2"/>
        <w:spacing w:after="120" w:before="240"/>
      </w:pPr>
      <w:r>
        <w:rPr>
          <w:b/>
          <w:bCs/>
        </w:rPr>
        <w:t xml:space="preserve">Firearms at Demonstrations</w:t>
      </w:r>
    </w:p>
    <w:p>
      <w:pPr>
        <w:spacing w:after="160"/>
      </w:pPr>
      <w:r>
        <w:t xml:space="preserve">District of Columbia v. Heller (2008) recognized an individual Second Amendment right to possess a handgun in the home, extended to the states in McDonald v. City of Chicago (2010), while stating that the right is not unlimited and identifying longstanding prohibitions, including restrictions on carrying firearms in sensitive places, that the decision did not disturb. The guest argues that First Amendment doctrine already accommodates regulation of firearms at demonstrations, because each exception to free speech protection turns on the risk of imminent violence, and that fact-specific time, place, and manner restrictions on weapons at public gatherings are likely to be upheld. She notes reviews in Berkeley, California and Charlottesville finding that officers hesitated to intervene in violence because demonstrators were armed, and expresses concern that armed rallies threaten the civic function of public protest.</w:t>
      </w:r>
    </w:p>
    <w:p>
      <w:pPr>
        <w:pStyle w:val="Heading2"/>
        <w:spacing w:after="120" w:before="240"/>
      </w:pPr>
      <w:r>
        <w:rPr>
          <w:b/>
          <w:bCs/>
        </w:rPr>
        <w:t xml:space="preserve">Developments to Know</w:t>
      </w:r>
    </w:p>
    <w:p>
      <w:pPr>
        <w:spacing w:after="160"/>
      </w:pPr>
      <w:r>
        <w:t xml:space="preserve">In Matal v. Tam (2017), the Supreme Court unanimously held that the Lanham Act's prohibition on registering disparaging trademarks violated the First Amendment, with the justices agreeing that the government may not prohibit expression because it offends. In Counterman v. Colorado (2023), the Court held that a true-threats prosecution requires proof that the defendant was at least reckless as to whether the communication would be understood as threatening violence, adding a subjective mental-state requirement to the objective standard. Brandenburg remains the governing standard for incitement and was the framework applied in public and legal debate concerning speech surrounding the events of January 6, 2021. Holder v. Humanitarian Law Project remains in force.</w:t>
      </w:r>
    </w:p>
    <w:p>
      <w:pPr>
        <w:spacing w:after="160"/>
      </w:pPr>
      <w:r>
        <w:t xml:space="preserve">In Sines v. Kessler (W.D. Va. 2021), a federal jury found organizers of the Unite the Right rally liable under Virginia civil conspiracy law for conspiring to commit racially motivated violence and awarded compensatory and punitive damages, distinguishing protected organizing from the planning of violence. Following Charlottesville, the ACLU adopted a policy of declining to represent groups seeking to demonstrate while armed. In New York State Rifle &amp; Pistol Association v. Bruen (2022), the Supreme Court held that the Second Amendment protects a right to carry a handgun in public for self-defense and established a history-and-tradition test for firearms regulations, while reaffirming that prohibitions in sensitive places remain permissible; in United States v. Rahimi (2024), the Court upheld a federal prohibition on firearm possession by persons subject to domestic violence restraining orders. Several states have enacted restrictions on firearms at demonstrations and polling places, with mixed results in litigation under Bruen. In Counterman v. Colorado (2023), the Court held that true-threats prosecutions require proof of at least recklessness as to the threatening character of the communication.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2026-09-24T04:38:13.441Z</dcterms:created>
  <dcterms:modified xsi:type="dcterms:W3CDTF">2026-09-24T04:38:13.441Z</dcterms:modified>
</cp:coreProperties>
</file>

<file path=docProps/custom.xml><?xml version="1.0" encoding="utf-8"?>
<Properties xmlns="http://schemas.openxmlformats.org/officeDocument/2006/custom-properties" xmlns:vt="http://schemas.openxmlformats.org/officeDocument/2006/docPropsVTypes"/>
</file>