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Players v. League: Battling the Sports Monopolies</w:t>
      </w:r>
    </w:p>
    <w:p>
      <w:pPr>
        <w:spacing w:after="200"/>
      </w:pPr>
      <w:r>
        <w:rPr>
          <w:rFonts w:ascii="Montserrat" w:cs="Montserrat" w:eastAsia="Montserrat" w:hAnsi="Montserrat"/>
          <w:b/>
          <w:bCs/>
          <w:color w:val="E87722"/>
          <w:sz w:val="24"/>
          <w:szCs w:val="24"/>
        </w:rPr>
        <w:t xml:space="preserve">James W. Quinn</w:t>
      </w:r>
    </w:p>
    <w:p>
      <w:pPr>
        <w:pBdr>
          <w:bottom w:val="single" w:color="E87722" w:sz="6"/>
        </w:pBdr>
        <w:spacing w:after="300"/>
      </w:pPr>
    </w:p>
    <w:p>
      <w:pPr>
        <w:pStyle w:val="Heading2"/>
        <w:spacing w:after="120" w:before="240"/>
      </w:pPr>
      <w:r>
        <w:rPr>
          <w:b/>
          <w:bCs/>
        </w:rPr>
        <w:t xml:space="preserve">Overview</w:t>
      </w:r>
    </w:p>
    <w:p>
      <w:pPr>
        <w:spacing w:after="160"/>
      </w:pPr>
      <w:r>
        <w:t>This program traces the application of federal antitrust law to professional sports and the players' campaign to end the reserve system. Topics include the baseball antitrust exemption, the application of the Sherman Act to other sports, the Sports Broadcasting Act, the emergence of players associations, the</w:t>
      </w:r>
      <w:r>
        <w:rPr>
          <w:i/>
          <w:iCs/>
        </w:rPr>
        <w:t xml:space="preserve">Robertson v. NBA</w:t>
      </w:r>
      <w:r>
        <w:t>litigation, and the arbitration decision that brought free agency to baseball.</w:t>
      </w:r>
    </w:p>
    <w:p>
      <w:pPr>
        <w:spacing w:after="160"/>
      </w:pPr>
      <w:r>
        <w:t>It then examines how football and hockey players obtained free agency and how labor disputes in professional sports shifted to the division of league revenue. Topics include the</w:t>
      </w:r>
      <w:r>
        <w:rPr>
          <w:i/>
          <w:iCs/>
        </w:rPr>
        <w:t xml:space="preserve">Mackey</w:t>
      </w:r>
      <w:r>
        <w:t xml:space="preserve">decision, the non-statutory labor exemption, union decertification as an antitrust strategy, the</w:t>
      </w:r>
      <w:r>
        <w:rPr>
          <w:i/>
          <w:iCs/>
        </w:rPr>
        <w:t xml:space="preserve">McNeil v. NFL</w:t>
      </w:r>
      <w:r>
        <w:t xml:space="preserve">trial and the settlement that followed, jury selection issues, hockey labor history and lockouts, salary caps and luxury taxes, and the labor-law framework that binds all players to a collective bargaining agreement.</w:t>
      </w:r>
    </w:p>
    <w:p>
      <w:pPr>
        <w:pStyle w:val="Heading2"/>
        <w:spacing w:after="120" w:before="240"/>
      </w:pPr>
      <w:r>
        <w:rPr>
          <w:b/>
          <w:bCs/>
        </w:rPr>
        <w:t xml:space="preserve">Learning Objectives</w:t>
      </w:r>
    </w:p>
    <w:p>
      <w:pPr>
        <w:pStyle w:val="ListParagraph"/>
        <w:numPr>
          <w:ilvl w:val="0"/>
          <w:numId w:val="1"/>
        </w:numPr>
        <w:spacing w:after="80"/>
      </w:pPr>
      <w:r>
        <w:t xml:space="preserve">Explain the origins and current scope of baseball's antitrust exemption.</w:t>
      </w:r>
    </w:p>
    <w:p>
      <w:pPr>
        <w:pStyle w:val="ListParagraph"/>
        <w:numPr>
          <w:ilvl w:val="0"/>
          <w:numId w:val="1"/>
        </w:numPr>
        <w:spacing w:after="80"/>
      </w:pPr>
      <w:r>
        <w:t xml:space="preserve">Describe how the Sherman Act applies to other professional sports leagues.</w:t>
      </w:r>
    </w:p>
    <w:p>
      <w:pPr>
        <w:pStyle w:val="ListParagraph"/>
        <w:numPr>
          <w:ilvl w:val="0"/>
          <w:numId w:val="1"/>
        </w:numPr>
        <w:spacing w:after="80"/>
      </w:pPr>
      <w:r>
        <w:t xml:space="preserve">Identify the statutory exemptions Congress has granted to sports leagues for broadcasting and mergers.</w:t>
      </w:r>
    </w:p>
    <w:p>
      <w:pPr>
        <w:pStyle w:val="ListParagraph"/>
        <w:numPr>
          <w:ilvl w:val="0"/>
          <w:numId w:val="1"/>
        </w:numPr>
        <w:spacing w:after="80"/>
      </w:pPr>
      <w:r>
        <w:t xml:space="preserve">Explain how reserve systems operated and the legal theories used to dismantle them through litigation and arbitration.</w:t>
      </w:r>
    </w:p>
    <w:p>
      <w:pPr>
        <w:pStyle w:val="ListParagraph"/>
        <w:numPr>
          <w:ilvl w:val="0"/>
          <w:numId w:val="1"/>
        </w:numPr>
        <w:spacing w:after="80"/>
      </w:pPr>
      <w:r>
        <w:t xml:space="preserve">Assess the economic arguments for and against free agency, including competitive balance.</w:t>
      </w:r>
    </w:p>
    <w:p>
      <w:pPr>
        <w:pStyle w:val="ListParagraph"/>
        <w:numPr>
          <w:ilvl w:val="0"/>
          <w:numId w:val="1"/>
        </w:numPr>
        <w:spacing w:after="80"/>
      </w:pPr>
      <w:r>
        <w:t xml:space="preserve">Explain the statutory and non-statutory labor exemptions from the antitrust laws and their application to professional sports.</w:t>
      </w:r>
    </w:p>
    <w:p>
      <w:pPr>
        <w:pStyle w:val="ListParagraph"/>
        <w:numPr>
          <w:ilvl w:val="0"/>
          <w:numId w:val="1"/>
        </w:numPr>
        <w:spacing w:after="80"/>
      </w:pPr>
      <w:r>
        <w:t xml:space="preserve">Describe decertification or disclaimer of interest as a strategy for bringing antitrust claims, and its limits.</w:t>
      </w:r>
    </w:p>
    <w:p>
      <w:pPr>
        <w:pStyle w:val="ListParagraph"/>
        <w:numPr>
          <w:ilvl w:val="0"/>
          <w:numId w:val="1"/>
        </w:numPr>
        <w:spacing w:after="80"/>
      </w:pPr>
      <w:r>
        <w:t xml:space="preserve">Identify constitutional limits on peremptory challenges in civil trials.</w:t>
      </w:r>
    </w:p>
    <w:p>
      <w:pPr>
        <w:pStyle w:val="ListParagraph"/>
        <w:numPr>
          <w:ilvl w:val="0"/>
          <w:numId w:val="1"/>
        </w:numPr>
        <w:spacing w:after="80"/>
      </w:pPr>
      <w:r>
        <w:t xml:space="preserve">Compare strikes and lockouts, and salary caps and luxury taxes, as tools in sports labor bargaining.</w:t>
      </w:r>
    </w:p>
    <w:p>
      <w:pPr>
        <w:pStyle w:val="ListParagraph"/>
        <w:numPr>
          <w:ilvl w:val="0"/>
          <w:numId w:val="1"/>
        </w:numPr>
        <w:spacing w:after="80"/>
      </w:pPr>
      <w:r>
        <w:t xml:space="preserve">Explain exclusive representation under the National Labor Relations Act.</w:t>
      </w:r>
    </w:p>
    <w:p>
      <w:pPr>
        <w:pStyle w:val="Heading2"/>
        <w:spacing w:after="120" w:before="240"/>
      </w:pPr>
      <w:r>
        <w:rPr>
          <w:b/>
          <w:bCs/>
        </w:rPr>
        <w:t xml:space="preserve">League Structure and Competition for Players</w:t>
      </w:r>
    </w:p>
    <w:p>
      <w:pPr>
        <w:spacing w:after="160"/>
      </w:pPr>
      <w:r>
        <w:t xml:space="preserve">Each of the four major North American sports is dominated by a single league, the product of rival leagues failing or merging: the AFL–NFL merger (1966–1970), the ABA–NBA merger (1976), and the absorption of four WHA teams by the NHL (1979). Rival leagues created competition for players' services and raised salaries sharply. Leagues responded with single entry drafts and mergers that eliminated competing bidders. Section 1 of the Sherman Act, 15 U.S.C. § 1, prohibits contracts and combinations in restraint of trade, and section 2, 15 U.S.C. § 2, prohibits monopolization.</w:t>
      </w:r>
    </w:p>
    <w:p>
      <w:pPr>
        <w:pStyle w:val="Heading2"/>
        <w:spacing w:after="120" w:before="240"/>
      </w:pPr>
      <w:r>
        <w:rPr>
          <w:b/>
          <w:bCs/>
        </w:rPr>
        <w:t xml:space="preserve">The Baseball Exemption</w:t>
      </w:r>
    </w:p>
    <w:p>
      <w:pPr>
        <w:pStyle w:val="ListParagraph"/>
        <w:numPr>
          <w:ilvl w:val="0"/>
          <w:numId w:val="1"/>
        </w:numPr>
        <w:spacing w:after="80"/>
      </w:pPr>
      <w:r>
        <w:rPr>
          <w:i/>
          <w:iCs/>
        </w:rPr>
        <w:t xml:space="preserve">Federal Baseball Club of Baltimore, Inc. v. National League of Professional Baseball Clubs</w:t>
      </w:r>
      <w:r>
        <w:t xml:space="preserve">, 259 U.S. 200 (1922). Brought by a club from the failed Federal League, the case held that exhibitions of baseball were purely state affairs and not interstate commerce, so the Sherman Act did not apply.</w:t>
      </w:r>
    </w:p>
    <w:p>
      <w:pPr>
        <w:pStyle w:val="ListParagraph"/>
        <w:numPr>
          <w:ilvl w:val="0"/>
          <w:numId w:val="1"/>
        </w:numPr>
        <w:spacing w:after="80"/>
      </w:pPr>
      <w:r>
        <w:rPr>
          <w:i/>
          <w:iCs/>
        </w:rPr>
        <w:t xml:space="preserve">Toolson v. New York Yankees, Inc.</w:t>
      </w:r>
      <w:r>
        <w:t xml:space="preserve">, 346 U.S. 356 (1953) (per curiam). The Court reaffirmed</w:t>
      </w:r>
      <w:r>
        <w:rPr>
          <w:i/>
          <w:iCs/>
        </w:rPr>
        <w:t xml:space="preserve">Federal Baseball</w:t>
      </w:r>
      <w:r>
        <w:t xml:space="preserve">, reasoning that Congress had let the exemption stand.</w:t>
      </w:r>
    </w:p>
    <w:p>
      <w:pPr>
        <w:pStyle w:val="ListParagraph"/>
        <w:numPr>
          <w:ilvl w:val="0"/>
          <w:numId w:val="1"/>
        </w:numPr>
        <w:spacing w:after="80"/>
      </w:pPr>
      <w:r>
        <w:rPr>
          <w:i/>
          <w:iCs/>
        </w:rPr>
        <w:t xml:space="preserve">Flood v. Kuhn</w:t>
      </w:r>
      <w:r>
        <w:t xml:space="preserve">, 407 U.S. 258 (1972). Curt Flood challenged his trade from St. Louis to Philadelphia and the reserve clause. The Court called baseball's exemption an "aberration" and an "anomaly," but left any change to Congress on grounds of stare decisis and reliance.</w:t>
      </w:r>
    </w:p>
    <w:p>
      <w:pPr>
        <w:pStyle w:val="ListParagraph"/>
        <w:numPr>
          <w:ilvl w:val="0"/>
          <w:numId w:val="1"/>
        </w:numPr>
        <w:spacing w:after="80"/>
      </w:pPr>
      <w:r>
        <w:rPr>
          <w:b/>
          <w:bCs/>
        </w:rPr>
        <w:t xml:space="preserve">Curt Flood Act of 1998</w:t>
      </w:r>
      <w:r>
        <w:t xml:space="preserve">, 15 U.S.C. § 26b. This act makes the antitrust laws apply to conduct "directly relating to or affecting employment of major league baseball players," while preserving the exemption for other matters, including the minor leagues, franchise relocation, and broadcasting.</w:t>
      </w:r>
    </w:p>
    <w:p>
      <w:pPr>
        <w:pStyle w:val="Heading2"/>
        <w:spacing w:after="120" w:before="240"/>
      </w:pPr>
      <w:r>
        <w:rPr>
          <w:b/>
          <w:bCs/>
        </w:rPr>
        <w:t xml:space="preserve">Other Sports: Radovich and the Sherman Act</w:t>
      </w:r>
    </w:p>
    <w:p>
      <w:pPr>
        <w:spacing w:after="160"/>
      </w:pPr>
      <w:r>
        <w:t xml:space="preserve">In</w:t>
      </w:r>
      <w:r>
        <w:rPr>
          <w:i/>
          <w:iCs/>
        </w:rPr>
        <w:t xml:space="preserve">Radovich v. National Football League</w:t>
      </w:r>
      <w:r>
        <w:t xml:space="preserve">, 352 U.S. 445 (1957), a player alleged that the NFL blacklisted him for playing in the rival All-America Football Conference. The Court held that football is subject to the antitrust laws and confined the baseball exemption to baseball. See also</w:t>
      </w:r>
      <w:r>
        <w:rPr>
          <w:i/>
          <w:iCs/>
        </w:rPr>
        <w:t xml:space="preserve">United States v. International Boxing Club of New York, Inc.</w:t>
      </w:r>
      <w:r>
        <w:t xml:space="preserve">, 348 U.S. 236 (1955) (boxing). Basketball and hockey have since been treated as subject to the Sherman Act.</w:t>
      </w:r>
    </w:p>
    <w:p>
      <w:pPr>
        <w:pStyle w:val="Heading2"/>
        <w:spacing w:after="120" w:before="240"/>
      </w:pPr>
      <w:r>
        <w:rPr>
          <w:b/>
          <w:bCs/>
        </w:rPr>
        <w:t xml:space="preserve">Broadcasting and Merger Exemptions</w:t>
      </w:r>
    </w:p>
    <w:p>
      <w:pPr>
        <w:spacing w:after="160"/>
      </w:pPr>
      <w:r>
        <w:t xml:space="preserve">In</w:t>
      </w:r>
      <w:r>
        <w:rPr>
          <w:i/>
          <w:iCs/>
        </w:rPr>
        <w:t xml:space="preserve">United States v. National Football League</w:t>
      </w:r>
      <w:r>
        <w:t xml:space="preserve">, 116 F. Supp. 319 (E.D. Pa. 1953), the court held that certain NFL restrictions on telecasting into other teams' territories violated the Sherman Act. In 1961 the same court held that the league's pooled sale of all teams' television rights to CBS violated the earlier decree.</w:t>
      </w:r>
      <w:r>
        <w:rPr>
          <w:i/>
          <w:iCs/>
        </w:rPr>
        <w:t xml:space="preserve">United States v. National Football League</w:t>
      </w:r>
      <w:r>
        <w:t xml:space="preserve">, 196 F. Supp. 445 (E.D. Pa. 1961). Congress responded with the Sports Broadcasting Act of 1961, Pub. L. No. 87-331, 15 U.S.C. §§ 1291–1295, which exempts agreements by football, baseball, basketball, and hockey leagues to pool and sell "sponsored telecasting" rights. The exemption does not cover subscription or pay television, and it is subject to protections for college and high school football. A 1966 amendment, Pub. L. No. 89-800, extended the exemption to the AFL–NFL merger.</w:t>
      </w:r>
    </w:p>
    <w:p>
      <w:pPr>
        <w:pStyle w:val="Heading2"/>
        <w:spacing w:after="120" w:before="240"/>
      </w:pPr>
      <w:r>
        <w:rPr>
          <w:b/>
          <w:bCs/>
        </w:rPr>
        <w:t xml:space="preserve">The Rise of Players Associations</w:t>
      </w:r>
    </w:p>
    <w:p>
      <w:pPr>
        <w:spacing w:after="160"/>
      </w:pPr>
      <w:r>
        <w:t xml:space="preserve">Durable players associations formed in the 1960s: the National Basketball Players Association under Larry Fleisher and the Major League Baseball Players Association under Marvin Miller, followed by football and hockey. At the 1964 NBA All-Star Game in Boston, the players refused to take the court until the owners agreed to a pension plan. It was the first organized work stoppage in major professional sports. The early bargaining agenda centered on pensions and health benefits and later expanded to free agency.</w:t>
      </w:r>
    </w:p>
    <w:p>
      <w:pPr>
        <w:pStyle w:val="Heading2"/>
        <w:spacing w:after="120" w:before="240"/>
      </w:pPr>
      <w:r>
        <w:rPr>
          <w:b/>
          <w:bCs/>
        </w:rPr>
        <w:t xml:space="preserve">The Reserve System and Robertson v. NBA</w:t>
      </w:r>
    </w:p>
    <w:p>
      <w:pPr>
        <w:spacing w:after="160"/>
      </w:pPr>
      <w:r>
        <w:t xml:space="preserve">Under the reserve and option clauses, a club could renew an expiring player contract for one year on the same terms, and the leagues read the renewed contract as renewable again, indefinitely. Combined with agreements among clubs not to deal with one another's reserved players, the system prevented competitive bidding. In</w:t>
      </w:r>
      <w:r>
        <w:rPr>
          <w:i/>
          <w:iCs/>
        </w:rPr>
        <w:t xml:space="preserve">Robertson v. National Basketball Ass'n</w:t>
      </w:r>
      <w:r>
        <w:t xml:space="preserve">, 389 F. Supp. 867 (S.D.N.Y. 1975), the court denied the NBA's motion for summary judgment on labor-exemption grounds, holding that the draft, the reserve clause, and the proposed ABA–NBA merger were subject to antitrust scrutiny. The case settled in 1976, and the settlement introduced free agency with compensation, later phased out. See</w:t>
      </w:r>
      <w:r>
        <w:rPr>
          <w:i/>
          <w:iCs/>
        </w:rPr>
        <w:t xml:space="preserve">Robertson v. National Basketball Ass'n</w:t>
      </w:r>
      <w:r>
        <w:t xml:space="preserve">, 72 F.R.D. 64 (S.D.N.Y. 1976), aff'd, 556 F.2d 682 (2d Cir. 1977).</w:t>
      </w:r>
    </w:p>
    <w:p>
      <w:pPr>
        <w:pStyle w:val="Heading2"/>
        <w:spacing w:after="120" w:before="240"/>
      </w:pPr>
      <w:r>
        <w:rPr>
          <w:b/>
          <w:bCs/>
        </w:rPr>
        <w:t xml:space="preserve">Arbitration and Free Agency in Baseball</w:t>
      </w:r>
    </w:p>
    <w:p>
      <w:pPr>
        <w:spacing w:after="160"/>
      </w:pPr>
      <w:r>
        <w:t xml:space="preserve">Barred from antitrust litigation, the MLBPA used the grievance arbitration it had negotiated. In the 1975 Messersmith–McNally grievance, arbitrator Peter Seitz held that the Uniform Player's Contract gave a club the right to renew for one additional year only, not perpetually. The decision was upheld in</w:t>
      </w:r>
      <w:r>
        <w:rPr>
          <w:i/>
          <w:iCs/>
        </w:rPr>
        <w:t xml:space="preserve">Kansas City Royals Baseball Corp. v. Major League Baseball Players Ass'n</w:t>
      </w:r>
      <w:r>
        <w:t xml:space="preserve">, 532 F.2d 615 (8th Cir. 1976). Because nearly all contracts contained the same clause, the owners negotiated a system of free agency for veterans in the 1976 collective bargaining agreement.</w:t>
      </w:r>
    </w:p>
    <w:p>
      <w:pPr>
        <w:pStyle w:val="Heading2"/>
        <w:spacing w:after="120" w:before="240"/>
      </w:pPr>
      <w:r>
        <w:rPr>
          <w:b/>
          <w:bCs/>
        </w:rPr>
        <w:t xml:space="preserve">Competitive Balance</w:t>
      </w:r>
    </w:p>
    <w:p>
      <w:pPr>
        <w:spacing w:after="160"/>
      </w:pPr>
      <w:r>
        <w:t xml:space="preserve">Owners argued that free agency would allow wealthy, large-market clubs to monopolize talent. The players countered, with evidence later presented in</w:t>
      </w:r>
      <w:r>
        <w:rPr>
          <w:i/>
          <w:iCs/>
        </w:rPr>
        <w:t xml:space="preserve">McNeil v. NFL</w:t>
      </w:r>
      <w:r>
        <w:t xml:space="preserve">, that free agency redistributed talent to teams that had been unable to acquire it, and that competitive balance did not decline. The competitive-balance defense remains a central justification for league restraints under rule-of-reason analysis.</w:t>
      </w:r>
    </w:p>
    <w:p>
      <w:pPr>
        <w:pStyle w:val="Heading2"/>
        <w:spacing w:after="120" w:before="240"/>
      </w:pPr>
      <w:r>
        <w:rPr>
          <w:b/>
          <w:bCs/>
        </w:rPr>
        <w:t xml:space="preserve">Football: Mackey and Its Aftermath</w:t>
      </w:r>
    </w:p>
    <w:p>
      <w:pPr>
        <w:spacing w:after="160"/>
      </w:pPr>
      <w:r>
        <w:t xml:space="preserve">In</w:t>
      </w:r>
      <w:r>
        <w:rPr>
          <w:i/>
          <w:iCs/>
        </w:rPr>
        <w:t xml:space="preserve">Mackey v. National Football League</w:t>
      </w:r>
      <w:r>
        <w:t xml:space="preserve">, 543 F.2d 606 (8th Cir. 1976), the court held that the "Rozelle Rule," which required a club signing another team's free agent to compensate the former club, was an unreasonable restraint of trade under the rule of reason. It also held that the rule was not shielded by the labor exemption because it had not been the product of bona fide arm's-length bargaining. The court articulated a three-part test: the exemption applies when the restraint primarily affects only the parties to the collective bargaining relationship, concerns a mandatory subject of bargaining, and results from bona fide arm's-length bargaining. In subsequent collective bargaining agreements, the NFLPA accepted continued restrictions on player movement in exchange for other benefits.</w:t>
      </w:r>
    </w:p>
    <w:p>
      <w:pPr>
        <w:pStyle w:val="Heading2"/>
        <w:spacing w:after="120" w:before="240"/>
      </w:pPr>
      <w:r>
        <w:rPr>
          <w:b/>
          <w:bCs/>
        </w:rPr>
        <w:t xml:space="preserve">The Labor Exemptions</w:t>
      </w:r>
    </w:p>
    <w:p>
      <w:pPr>
        <w:pStyle w:val="Heading3"/>
        <w:spacing w:after="120" w:before="240"/>
      </w:pPr>
      <w:r>
        <w:rPr>
          <w:b/>
          <w:bCs/>
        </w:rPr>
        <w:t xml:space="preserve">Statutory Exemption</w:t>
      </w:r>
    </w:p>
    <w:p>
      <w:pPr>
        <w:spacing w:after="160"/>
      </w:pPr>
      <w:r>
        <w:t xml:space="preserve">Section 6 of the Clayton Act, 15 U.S.C. § 17, and section 20, 29 U.S.C. § 52, together with the Norris-LaGuardia Act, 29 U.S.C. §§ 101–115, exempt the formation and ordinary activities of labor organizations from the antitrust laws. Employees' rights to organize and bargain collectively are protected by section 7 of the National Labor Relations Act, 29 U.S.C. § 157.</w:t>
      </w:r>
    </w:p>
    <w:p>
      <w:pPr>
        <w:pStyle w:val="Heading3"/>
        <w:spacing w:after="120" w:before="240"/>
      </w:pPr>
      <w:r>
        <w:rPr>
          <w:b/>
          <w:bCs/>
        </w:rPr>
        <w:t xml:space="preserve">Non-Statutory Exemption</w:t>
      </w:r>
    </w:p>
    <w:p>
      <w:pPr>
        <w:spacing w:after="160"/>
      </w:pPr>
      <w:r>
        <w:t xml:space="preserve">The courts have inferred an additional exemption to accommodate federal labor policy for restraints arising from collective bargaining. See</w:t>
      </w:r>
      <w:r>
        <w:rPr>
          <w:i/>
          <w:iCs/>
        </w:rPr>
        <w:t xml:space="preserve">Local Union No. 189, Amalgamated Meat Cutters v. Jewel Tea Co.</w:t>
      </w:r>
      <w:r>
        <w:t xml:space="preserve">, 381 U.S. 676 (1965);</w:t>
      </w:r>
      <w:r>
        <w:rPr>
          <w:i/>
          <w:iCs/>
        </w:rPr>
        <w:t xml:space="preserve">Connell Construction Co. v. Plumbers &amp; Steamfitters Local Union No. 100</w:t>
      </w:r>
      <w:r>
        <w:t xml:space="preserve">, 421 U.S. 616 (1975). In</w:t>
      </w:r>
      <w:r>
        <w:rPr>
          <w:i/>
          <w:iCs/>
        </w:rPr>
        <w:t xml:space="preserve">Powell v. National Football League</w:t>
      </w:r>
      <w:r>
        <w:t xml:space="preserve">, 930 F.2d 1293 (8th Cir. 1989), the court held that the exemption continued to protect the NFL's player restraints after the collective bargaining agreement expired and bargaining reached impasse, as long as a bargaining relationship existed. The Supreme Court agreed with that approach in</w:t>
      </w:r>
      <w:r>
        <w:rPr>
          <w:i/>
          <w:iCs/>
        </w:rPr>
        <w:t xml:space="preserve">Brown v. Pro Football, Inc.</w:t>
      </w:r>
      <w:r>
        <w:t xml:space="preserve">, 518 U.S. 231 (1996), holding that the exemption protected unilaterally imposed terms after impasse. The Court suggested the exemption would end at some point, for example when the collective bargaining relationship has collapsed, as by decertification of the union.</w:t>
      </w:r>
    </w:p>
    <w:p>
      <w:pPr>
        <w:pStyle w:val="Heading2"/>
        <w:spacing w:after="120" w:before="240"/>
      </w:pPr>
      <w:r>
        <w:rPr>
          <w:b/>
          <w:bCs/>
        </w:rPr>
        <w:t xml:space="preserve">Decertification and McNeil v. NFL</w:t>
      </w:r>
    </w:p>
    <w:p>
      <w:pPr>
        <w:spacing w:after="160"/>
      </w:pPr>
      <w:r>
        <w:t xml:space="preserve">After</w:t>
      </w:r>
      <w:r>
        <w:rPr>
          <w:i/>
          <w:iCs/>
        </w:rPr>
        <w:t xml:space="preserve">Powell</w:t>
      </w:r>
      <w:r>
        <w:t xml:space="preserve">, the NFLPA renounced its role as collective bargaining representative in 1989 and reorganized as a professional association. It financed individual antitrust suits using revenue from group licensing of player images. In</w:t>
      </w:r>
      <w:r>
        <w:rPr>
          <w:i/>
          <w:iCs/>
        </w:rPr>
        <w:t xml:space="preserve">McNeil v. National Football League</w:t>
      </w:r>
      <w:r>
        <w:t xml:space="preserve">, 790 F. Supp. 871 (D. Minn. 1992), the court held that the labor exemption no longer applied because the players were no longer represented by a union. The plaintiffs, led by New York Jets running back Freeman McNeil, challenged "Plan B," under which each club could protect 37 players, with unprotected players free to sign elsewhere. After a trial of about four months, the jury in September 1992 found that Plan B violated section 1 of the Sherman Act and awarded damages to four of the eight plaintiffs. The ruling led to a class settlement in</w:t>
      </w:r>
      <w:r>
        <w:rPr>
          <w:i/>
          <w:iCs/>
        </w:rPr>
        <w:t xml:space="preserve">White v. National Football League</w:t>
      </w:r>
      <w:r>
        <w:t xml:space="preserve">, 836 F. Supp. 1458 (D. Minn. 1993), and a new collective bargaining agreement in 1993 combining veteran free agency with a salary cap.</w:t>
      </w:r>
    </w:p>
    <w:p>
      <w:pPr>
        <w:pStyle w:val="Heading2"/>
        <w:spacing w:after="120" w:before="240"/>
      </w:pPr>
      <w:r>
        <w:rPr>
          <w:b/>
          <w:bCs/>
        </w:rPr>
        <w:t xml:space="preserve">Jury Selection and Peremptory Challenges</w:t>
      </w:r>
    </w:p>
    <w:p>
      <w:pPr>
        <w:spacing w:after="160"/>
      </w:pPr>
      <w:r>
        <w:t xml:space="preserve">Mr. Quinn describes the use of mock-jury research and peremptory strikes to seat an all-female jury in</w:t>
      </w:r>
      <w:r>
        <w:rPr>
          <w:i/>
          <w:iCs/>
        </w:rPr>
        <w:t xml:space="preserve">McNeil</w:t>
      </w:r>
      <w:r>
        <w:t xml:space="preserve">. Race-based peremptory strikes had been held unconstitutional in criminal cases,</w:t>
      </w:r>
      <w:r>
        <w:rPr>
          <w:i/>
          <w:iCs/>
        </w:rPr>
        <w:t xml:space="preserve">Batson v. Kentucky</w:t>
      </w:r>
      <w:r>
        <w:t xml:space="preserve">, 476 U.S. 79 (1986), and in civil cases,</w:t>
      </w:r>
      <w:r>
        <w:rPr>
          <w:i/>
          <w:iCs/>
        </w:rPr>
        <w:t xml:space="preserve">Edmonson v. Leesville Concrete Co.</w:t>
      </w:r>
      <w:r>
        <w:t xml:space="preserve">, 500 U.S. 614 (1991). Two years after</w:t>
      </w:r>
      <w:r>
        <w:rPr>
          <w:i/>
          <w:iCs/>
        </w:rPr>
        <w:t xml:space="preserve">McNeil</w:t>
      </w:r>
      <w:r>
        <w:t xml:space="preserve">, the Court extended the rule to sex.</w:t>
      </w:r>
      <w:r>
        <w:rPr>
          <w:i/>
          <w:iCs/>
        </w:rPr>
        <w:t xml:space="preserve">J.E.B. v. Alabama ex rel. T.B.</w:t>
      </w:r>
      <w:r>
        <w:t xml:space="preserve">, 511 U.S. 127 (1994). Under current law, a party that strikes jurors because of their sex is subject to a</w:t>
      </w:r>
      <w:r>
        <w:rPr>
          <w:i/>
          <w:iCs/>
        </w:rPr>
        <w:t xml:space="preserve">Batson</w:t>
      </w:r>
      <w:r>
        <w:t xml:space="preserve">-type challenge, and counsel should be prepared to give sex-neutral reasons for each strike. Jury consultants and mock trials remain lawful tools, but they cannot be used to justify strikes based on protected characteristics.</w:t>
      </w:r>
    </w:p>
    <w:p>
      <w:pPr>
        <w:pStyle w:val="Heading2"/>
        <w:spacing w:after="120" w:before="240"/>
      </w:pPr>
      <w:r>
        <w:rPr>
          <w:b/>
          <w:bCs/>
        </w:rPr>
        <w:t xml:space="preserve">Hockey</w:t>
      </w:r>
    </w:p>
    <w:p>
      <w:pPr>
        <w:spacing w:after="160"/>
      </w:pPr>
      <w:r>
        <w:t xml:space="preserve">Competition from the World Hockey Association (1972–1979) raised NHL salaries until four WHA clubs joined the NHL in 1979. Alan Eagleson, executive director of the NHL Players' Association from its founding in 1967 until 1991, later pleaded guilty in U.S. and Canadian courts to fraud-related charges arising from his conduct as union head and agent. Under his successor, Bob Goodenow, the NHLPA pressed for free agency. The 1994–95 lockout under Commissioner Gary Bettman produced an agreement with limited unrestricted free agency for veteran players. Later lockouts in 2004–05, which canceled an entire season and produced a hard salary cap, and in 2012–13 centered on the division of revenue. Hockey's salary arbitration process uses comparable players' contracts, so free-agent salaries set the benchmark for players who are not yet free agents.</w:t>
      </w:r>
    </w:p>
    <w:p>
      <w:pPr>
        <w:pStyle w:val="Heading2"/>
        <w:spacing w:after="120" w:before="240"/>
      </w:pPr>
      <w:r>
        <w:rPr>
          <w:b/>
          <w:bCs/>
        </w:rPr>
        <w:t xml:space="preserve">Strikes, Lockouts, and Economic Leverage</w:t>
      </w:r>
    </w:p>
    <w:p>
      <w:pPr>
        <w:spacing w:after="160"/>
      </w:pPr>
      <w:r>
        <w:t xml:space="preserve">A lockout is an employer's withholding of work to pressure employees in bargaining, and it is generally lawful after impasse or in support of a legitimate bargaining position. See</w:t>
      </w:r>
      <w:r>
        <w:rPr>
          <w:i/>
          <w:iCs/>
        </w:rPr>
        <w:t xml:space="preserve">American Ship Building Co. v. NLRB</w:t>
      </w:r>
      <w:r>
        <w:t xml:space="preserve">, 380 U.S. 300 (1965). Because athletes' careers are short and their earnings concentrated in a few seasons, a stoppage costs players proportionally more than it costs owners. That is why players associations have often preferred litigation to strikes.</w:t>
      </w:r>
    </w:p>
    <w:p>
      <w:pPr>
        <w:pStyle w:val="Heading2"/>
        <w:spacing w:after="120" w:before="240"/>
      </w:pPr>
      <w:r>
        <w:rPr>
          <w:b/>
          <w:bCs/>
        </w:rPr>
        <w:t xml:space="preserve">Revenue Sharing, Salary Caps, and Luxury Taxes</w:t>
      </w:r>
    </w:p>
    <w:p>
      <w:pPr>
        <w:spacing w:after="160"/>
      </w:pPr>
      <w:r>
        <w:t xml:space="preserve">Once free agency was established, the central bargaining issue became the players' share of league revenue. In the NFL, NBA, and NHL, that share determines the salary cap, and the NFL and NHL caps are "hard." Major League Baseball has no salary cap. Its competitive balance tax charges clubs whose payrolls exceed set thresholds, with proceeds used for player benefits and revenue sharing that supports lower-revenue clubs.</w:t>
      </w:r>
    </w:p>
    <w:p>
      <w:pPr>
        <w:pStyle w:val="Heading2"/>
        <w:spacing w:after="120" w:before="240"/>
      </w:pPr>
      <w:r>
        <w:rPr>
          <w:b/>
          <w:bCs/>
        </w:rPr>
        <w:t xml:space="preserve">Exclusive Representation</w:t>
      </w:r>
    </w:p>
    <w:p>
      <w:pPr>
        <w:spacing w:after="160"/>
      </w:pPr>
      <w:r>
        <w:t xml:space="preserve">Under section 9(a) of the NLRA, 29 U.S.C. § 159(a), a certified union is the exclusive bargaining representative of all employees in the bargaining unit, whether or not they are members. See also</w:t>
      </w:r>
      <w:r>
        <w:rPr>
          <w:i/>
          <w:iCs/>
        </w:rPr>
        <w:t xml:space="preserve">J.I. Case Co. v. NLRB</w:t>
      </w:r>
      <w:r>
        <w:t xml:space="preserve">, 321 U.S. 332 (1944) (individual contracts may not undercut the collective agreement). A true "closed shop," requiring union membership before hire, is prohibited by section 8(a)(3), 29 U.S.C. § 158(a)(3). But every player is bound by the collective bargaining agreement's terms, including salary cap rules, and individual contracts are negotiated within that framework.</w:t>
      </w:r>
    </w:p>
    <w:p>
      <w:pPr>
        <w:pStyle w:val="Heading2"/>
        <w:spacing w:after="120" w:before="240"/>
      </w:pPr>
      <w:r>
        <w:rPr>
          <w:b/>
          <w:bCs/>
        </w:rPr>
        <w:t xml:space="preserve">Developments to Know</w:t>
      </w:r>
    </w:p>
    <w:p>
      <w:pPr>
        <w:pStyle w:val="ListParagraph"/>
        <w:numPr>
          <w:ilvl w:val="0"/>
          <w:numId w:val="1"/>
        </w:numPr>
        <w:spacing w:after="80"/>
      </w:pPr>
      <w:r>
        <w:rPr>
          <w:b/>
          <w:bCs/>
        </w:rPr>
        <w:t xml:space="preserve">Continuing baseball exemption.</w:t>
      </w:r>
      <w:r>
        <w:t xml:space="preserve">Courts continue to apply the exemption outside the Curt Flood Act's coverage, including to claims by minor league clubs, and the Supreme Court has not revisited</w:t>
      </w:r>
      <w:r>
        <w:rPr>
          <w:i/>
          <w:iCs/>
        </w:rPr>
        <w:t xml:space="preserve">Federal Baseball</w:t>
      </w:r>
      <w:r>
        <w:t xml:space="preserve">, most recently denying review in March 2026 of a case applying the exemption to a Puerto Rico league. Minor league players organized with the MLBPA in 2022 and ratified their first collective bargaining agreement in 2023.</w:t>
      </w:r>
    </w:p>
    <w:p>
      <w:pPr>
        <w:pStyle w:val="ListParagraph"/>
        <w:numPr>
          <w:ilvl w:val="0"/>
          <w:numId w:val="1"/>
        </w:numPr>
        <w:spacing w:after="80"/>
      </w:pPr>
      <w:r>
        <w:rPr>
          <w:b/>
          <w:bCs/>
        </w:rPr>
        <w:t xml:space="preserve">Sports Broadcasting Act and "Sunday Ticket."</w:t>
      </w:r>
      <w:r>
        <w:t xml:space="preserve">In</w:t>
      </w:r>
      <w:r>
        <w:rPr>
          <w:i/>
          <w:iCs/>
        </w:rPr>
        <w:t xml:space="preserve">In re National Football League's "Sunday Ticket" Antitrust Litigation</w:t>
      </w:r>
      <w:r>
        <w:t xml:space="preserve">, 933 F.3d 1136 (9th Cir. 2019), the court reversed dismissal, holding that the Act's exemption does not reach the out-of-market satellite package. After a jury returned a verdict for subscribers in June 2024, the district court granted judgment as a matter of law for the NFL, and the plaintiffs appealed. The Ninth Circuit heard argument in March 2026.</w:t>
      </w:r>
    </w:p>
    <w:p>
      <w:pPr>
        <w:pStyle w:val="ListParagraph"/>
        <w:numPr>
          <w:ilvl w:val="0"/>
          <w:numId w:val="1"/>
        </w:numPr>
        <w:spacing w:after="80"/>
      </w:pPr>
      <w:r>
        <w:rPr>
          <w:b/>
          <w:bCs/>
        </w:rPr>
        <w:t xml:space="preserve">&lt;em&gt;NCAA v. Alston&lt;/em&gt;, 594 U.S. 69 (2021).</w:t>
      </w:r>
      <w:r>
        <w:t xml:space="preserve">A unanimous Court applied rule-of-reason analysis and affirmed an injunction against NCAA limits on education-related benefits. It declined to extend any special deference to the NCAA's amateurism justification. Justice Kavanaugh's concurrence questioned the lawfulness of the NCAA's remaining compensation rules.</w:t>
      </w:r>
    </w:p>
    <w:p>
      <w:pPr>
        <w:pStyle w:val="ListParagraph"/>
        <w:numPr>
          <w:ilvl w:val="0"/>
          <w:numId w:val="1"/>
        </w:numPr>
        <w:spacing w:after="80"/>
      </w:pPr>
      <w:r>
        <w:rPr>
          <w:b/>
          <w:bCs/>
        </w:rPr>
        <w:t xml:space="preserve">&lt;em&gt;House v. NCAA&lt;/em&gt;, No. 4:20-cv-03919 (N.D. Cal.).</w:t>
      </w:r>
      <w:r>
        <w:t xml:space="preserve">The settlement approved in June 2025 provides roughly $2.8 billion in damages for past restrictions and permits Division I schools to share revenue directly with athletes, subject to an annual cap. Questions about athlete employment status, collective bargaining, and federal legislation remain open. In September 2026 the Senate voted 74–24 to take up the Protect College Sports Act, which would cap revenue sharing and give the NCAA a limited antitrust exemption; final action is pending.</w:t>
      </w:r>
    </w:p>
    <w:p>
      <w:pPr>
        <w:pStyle w:val="ListParagraph"/>
        <w:numPr>
          <w:ilvl w:val="0"/>
          <w:numId w:val="1"/>
        </w:numPr>
        <w:spacing w:after="80"/>
      </w:pPr>
      <w:r>
        <w:rPr>
          <w:b/>
          <w:bCs/>
        </w:rPr>
        <w:t xml:space="preserve">2011 disclaimers and &lt;em&gt;Brady v. NFL&lt;/em&gt;.</w:t>
      </w:r>
      <w:r>
        <w:t xml:space="preserve">During the 2011 lockouts, the NFLPA and NBPA disclaimed representation and players filed antitrust suits. In</w:t>
      </w:r>
      <w:r>
        <w:rPr>
          <w:i/>
          <w:iCs/>
        </w:rPr>
        <w:t xml:space="preserve">Brady v. National Football League</w:t>
      </w:r>
      <w:r>
        <w:t xml:space="preserve">, 644 F.3d 661 (8th Cir. 2011), the court held that the Norris-LaGuardia Act barred a preliminary injunction against the NFL lockout. Both disputes were resolved through new collective bargaining agreements.</w:t>
      </w:r>
    </w:p>
    <w:p>
      <w:pPr>
        <w:pStyle w:val="ListParagraph"/>
        <w:numPr>
          <w:ilvl w:val="0"/>
          <w:numId w:val="1"/>
        </w:numPr>
        <w:spacing w:after="80"/>
      </w:pPr>
      <w:r>
        <w:rPr>
          <w:b/>
          <w:bCs/>
        </w:rPr>
        <w:t xml:space="preserve">Recent collective bargaining agreements.</w:t>
      </w:r>
      <w:r>
        <w:t xml:space="preserve">The NFL's 2020 agreement runs through the 2030 season, expanded the regular season to 17 games, and increased the players' revenue share. The NBA's 2023 agreement added a second salary "apron" restricting transactions by the highest-spending teams. MLB's 2022 agreement, reached after a 99-day lockout, expires December 1, 2026; in May 2026 owners proposed a salary cap and floor with a 50/50 revenue split, which the union rejected. The NHL has had no work stoppage since 2013, and its 2025 extension runs through 2029–30 with an 84-game season. The WNBA's 2026 agreement adopted a revenue-sharing model and sharply raised the salary cap.</w:t>
      </w:r>
    </w:p>
    <w:p>
      <w:pPr>
        <w:pStyle w:val="ListParagraph"/>
        <w:numPr>
          <w:ilvl w:val="0"/>
          <w:numId w:val="1"/>
        </w:numPr>
        <w:spacing w:after="80"/>
      </w:pPr>
      <w:r>
        <w:rPr>
          <w:b/>
          <w:bCs/>
        </w:rPr>
        <w:t xml:space="preserve">Player health.</w:t>
      </w:r>
      <w:r>
        <w:t xml:space="preserve">The NFL concussion class settlement was affirmed in</w:t>
      </w:r>
      <w:r>
        <w:rPr>
          <w:i/>
          <w:iCs/>
        </w:rPr>
        <w:t xml:space="preserve">In re National Football League Players' Concussion Injury Litigation</w:t>
      </w:r>
      <w:r>
        <w:t xml:space="preserve">, 821 F.3d 410 (3d Cir. 2016). Player health and safety provisions have expanded across the leagues.</w:t>
      </w:r>
    </w:p>
    <w:p>
      <w:pPr>
        <w:pStyle w:val="ListParagraph"/>
        <w:numPr>
          <w:ilvl w:val="0"/>
          <w:numId w:val="1"/>
        </w:numPr>
        <w:spacing w:after="80"/>
      </w:pPr>
      <w:r>
        <w:rPr>
          <w:b/>
          <w:bCs/>
        </w:rPr>
        <w:t xml:space="preserve">Sports betting.</w:t>
      </w:r>
      <w:r>
        <w:rPr>
          <w:i/>
          <w:iCs/>
        </w:rPr>
        <w:t xml:space="preserve">Murphy v. National Collegiate Athletic Ass'n</w:t>
      </w:r>
      <w:r>
        <w:t xml:space="preserve">, 584 U.S. 453 (2018), struck down the Professional and Amateur Sports Protection Act's prohibition on state authorization of sports gambling. Leagues now have betting partnerships and integrity rules, and betting has become a subject of player discipline and bargaining.</w:t>
      </w:r>
    </w:p>
    <w:p>
      <w:pPr>
        <w:pStyle w:val="ListParagraph"/>
        <w:numPr>
          <w:ilvl w:val="0"/>
          <w:numId w:val="1"/>
        </w:numPr>
        <w:spacing w:after="80"/>
      </w:pPr>
      <w:r>
        <w:rPr>
          <w:b/>
          <w:bCs/>
        </w:rPr>
        <w:t xml:space="preserve">College athletes.</w:t>
      </w:r>
      <w:r>
        <w:t xml:space="preserve">After</w:t>
      </w:r>
      <w:r>
        <w:rPr>
          <w:i/>
          <w:iCs/>
        </w:rPr>
        <w:t xml:space="preserve">NCAA v. Alston</w:t>
      </w:r>
      <w:r>
        <w:t xml:space="preserve">, 594 U.S. 69 (2021), and the 2025</w:t>
      </w:r>
      <w:r>
        <w:rPr>
          <w:i/>
          <w:iCs/>
        </w:rPr>
        <w:t xml:space="preserve">House v. NCAA</w:t>
      </w:r>
      <w:r>
        <w:t xml:space="preserve">settlement, the question of whether college athletes are employees who may bargain collectively, and whether a labor exemption could ever apply to college sports, has become a major issue. See</w:t>
      </w:r>
      <w:r>
        <w:rPr>
          <w:i/>
          <w:iCs/>
        </w:rPr>
        <w:t xml:space="preserve">Johnson v. NCAA</w:t>
      </w:r>
      <w:r>
        <w:t xml:space="preserve">, 108 F.4th 163 (3d Cir. 2024) (athletes may be employees under the Fair Labor Standards Act).</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2026-09-28T18:12:31.697Z</dcterms:created>
  <dcterms:modified xsi:type="dcterms:W3CDTF">2026-09-28T18:12:31.697Z</dcterms:modified>
</cp:coreProperties>
</file>

<file path=docProps/custom.xml><?xml version="1.0" encoding="utf-8"?>
<Properties xmlns="http://schemas.openxmlformats.org/officeDocument/2006/custom-properties" xmlns:vt="http://schemas.openxmlformats.org/officeDocument/2006/docPropsVTypes"/>
</file>