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Abandoned DNA &amp; the Ownership of Sperm</w:t>
      </w:r>
    </w:p>
    <w:p>
      <w:pPr>
        <w:spacing w:after="200"/>
      </w:pPr>
      <w:r>
        <w:rPr>
          <w:rFonts w:ascii="Montserrat" w:cs="Montserrat" w:eastAsia="Montserrat" w:hAnsi="Montserrat"/>
          <w:b/>
          <w:bCs/>
          <w:color w:val="E87722"/>
          <w:sz w:val="24"/>
          <w:szCs w:val="24"/>
        </w:rPr>
        <w:t xml:space="preserve">Prof. Glenn Cohen</w:t>
      </w:r>
    </w:p>
    <w:p>
      <w:pPr>
        <w:pBdr>
          <w:bottom w:val="single" w:color="E87722" w:sz="6"/>
        </w:pBdr>
        <w:spacing w:after="300"/>
      </w:pPr>
    </w:p>
    <w:p>
      <w:pPr>
        <w:pStyle w:val="Heading2"/>
        <w:spacing w:after="120" w:before="240"/>
      </w:pPr>
      <w:r>
        <w:rPr>
          <w:b/>
          <w:bCs/>
        </w:rPr>
        <w:t xml:space="preserve">Overview</w:t>
      </w:r>
    </w:p>
    <w:p>
      <w:pPr>
        <w:spacing w:after="160"/>
      </w:pPr>
      <w:r>
        <w:t>This program examines the legal status of human biological material, including discarded cells and DNA, tissue used in research and commerce, and gametes. It addresses property and conversion claims in excised cells, informed consent and biobanking, Fourth Amendment treatment of abandoned DNA, genetic privacy and anti-discrimination law, duties to disclose genetic risk, the treatment of sperm outside the reproductive-medicine context, and emerging technologies for deriving gametes from somatic cells. It then examines the law of sperm donation and assisted reproduction: the parentage of children conceived with donor sperm, statutory protections for donors and their limits, the market for gametes, donor anonymity and the rights of donor-conceived persons, posthumous reproduction, and disputes over the disposition of cryopreserved embryos.</w:t>
      </w:r>
    </w:p>
    <w:p>
      <w:pPr>
        <w:pStyle w:val="Heading2"/>
        <w:spacing w:after="120" w:before="240"/>
      </w:pPr>
      <w:r>
        <w:rPr>
          <w:b/>
          <w:bCs/>
        </w:rPr>
        <w:t xml:space="preserve">Property in Excised Cells</w:t>
      </w:r>
    </w:p>
    <w:p>
      <w:pPr>
        <w:spacing w:after="160"/>
      </w:pPr>
      <w:r>
        <w:t xml:space="preserve">In Moore v. Regents of the University of California, 51 Cal. 3d 120 (1990), the California Supreme Court held that a patient whose cells were used without his knowledge to develop a patented cell line stated claims for breach of fiduciary duty and lack of informed consent, because a physician must disclose research and economic interests that may affect medical judgment, but did not state a claim for conversion, because the patient retained no ownership interest in excised cells and extension of conversion liability would burden biomedical research. Subsequent decisions have followed Moore: Greenberg v. Miami Children's Hospital Research Institute (S.D. Fla. 2003) rejected conversion claims by families who donated tissue for Canavan disease research, and Washington University v. Catalona (8th Cir. 2007) held that research participants who donated samples to a university biorepository could not direct their transfer to a departing researcher. The guest discusses the cases of Henrietta Lacks, whose cervical cancer cells became the HeLa cell line in 1951 without her knowledge, and the Havasupai Tribe, which settled claims against Arizona State University in 2010 over the use of blood samples for research beyond the diabetes study to which members had consented.</w:t>
      </w:r>
    </w:p>
    <w:p>
      <w:pPr>
        <w:pStyle w:val="Heading2"/>
        <w:spacing w:after="120" w:before="240"/>
      </w:pPr>
      <w:r>
        <w:rPr>
          <w:b/>
          <w:bCs/>
        </w:rPr>
        <w:t xml:space="preserve">Informed Consent and Biobanking</w:t>
      </w:r>
    </w:p>
    <w:p>
      <w:pPr>
        <w:spacing w:after="160"/>
      </w:pPr>
      <w:r>
        <w:t xml:space="preserve">The federal Common Rule (45 C.F.R. Part 46) governs research on human subjects at institutions receiving federal funding. Research on de-identified biospecimens has generally not required consent, and consent forms for biorepositories commonly disclaim any commercial interest of the donor. The 2018 revision of the Common Rule introduced broad consent as an option for future unspecified research on identifiable biospecimens but retained the rule that de-identified specimens may be used without consent.</w:t>
      </w:r>
    </w:p>
    <w:p>
      <w:pPr>
        <w:pStyle w:val="Heading2"/>
        <w:spacing w:after="120" w:before="240"/>
      </w:pPr>
      <w:r>
        <w:rPr>
          <w:b/>
          <w:bCs/>
        </w:rPr>
        <w:t xml:space="preserve">Abandoned DNA and the Fourth Amendment</w:t>
      </w:r>
    </w:p>
    <w:p>
      <w:pPr>
        <w:spacing w:after="160"/>
      </w:pPr>
      <w:r>
        <w:t xml:space="preserve">Under California v. Greenwood (1988), there is no reasonable expectation of privacy in garbage left for collection, and courts have applied the same reasoning to DNA on discarded items such as cups, cigarette butts, and envelopes obtained by law enforcement through ruses. Maryland v. King (2013) upheld DNA collection from arrestees for serious offenses as a legitimate booking procedure. The guest notes that at the time of the program a few states had enacted statutes restricting surreptitious genetic testing, but that federal law did not.</w:t>
      </w:r>
    </w:p>
    <w:p>
      <w:pPr>
        <w:pStyle w:val="Heading2"/>
        <w:spacing w:after="120" w:before="240"/>
      </w:pPr>
      <w:r>
        <w:rPr>
          <w:b/>
          <w:bCs/>
        </w:rPr>
        <w:t xml:space="preserve">Genetic Privacy and Anti-Discrimination Law</w:t>
      </w:r>
    </w:p>
    <w:p>
      <w:pPr>
        <w:spacing w:after="160"/>
      </w:pPr>
      <w:r>
        <w:t xml:space="preserve">The Genetic Information Nondiscrimination Act of 2008 (GINA) prohibits health insurers from using genetic information in underwriting and prohibits employers from using genetic information in employment decisions or requesting it, subject to exceptions; it does not cover life, disability, or long-term care insurance. The Americans with Disabilities Act may apply where a genetic condition is manifest. HIPAA protects genetic information held by covered entities but not information held by direct-to-consumer genetic testing companies, whose practices are governed by their terms of service and the FTC Act. The guest argues against "genetic exceptionalism," observing that other categories of personal data may be equally revealing.</w:t>
      </w:r>
    </w:p>
    <w:p>
      <w:pPr>
        <w:pStyle w:val="Heading2"/>
        <w:spacing w:after="120" w:before="240"/>
      </w:pPr>
      <w:r>
        <w:rPr>
          <w:b/>
          <w:bCs/>
        </w:rPr>
        <w:t xml:space="preserve">Duty to Warn of Genetic Risk</w:t>
      </w:r>
    </w:p>
    <w:p>
      <w:pPr>
        <w:spacing w:after="160"/>
      </w:pPr>
      <w:r>
        <w:t xml:space="preserve">Courts have divided on whether a physician owes a duty to warn a patient's relatives of a heritable condition. In Pate v. Threlkel (Fla. 1995), the court held the duty is satisfied by warning the patient; in Safer v. Estate of Pack (N.J. App. Div. 1996), the court held the duty may extend to at-risk relatives. Most states have rejected "wrongful life" claims by children alleging they should not have been born; a small number permit recovery of extraordinary medical expenses.</w:t>
      </w:r>
    </w:p>
    <w:p>
      <w:pPr>
        <w:pStyle w:val="Heading2"/>
        <w:spacing w:after="120" w:before="240"/>
      </w:pPr>
      <w:r>
        <w:rPr>
          <w:b/>
          <w:bCs/>
        </w:rPr>
        <w:t xml:space="preserve">Sperm as Property: Phillips v. Irons</w:t>
      </w:r>
    </w:p>
    <w:p>
      <w:pPr>
        <w:spacing w:after="160"/>
      </w:pPr>
      <w:r>
        <w:t xml:space="preserve">In Phillips v. Irons, 2005 WL 4694579 (Ill. App. 2005), the court held that a man who alleged that his partner had retained his semen following oral sex and used it to conceive a child could not maintain a claim for conversion, because he had not retained a possessory interest in the semen, but could proceed on a claim for intentional infliction of emotional distress. The man was separately adjudicated the father and ordered to pay child support. The case is the only reported American decision addressing use of semen obtained outside a reproductive context.</w:t>
      </w:r>
    </w:p>
    <w:p>
      <w:pPr>
        <w:pStyle w:val="Heading2"/>
        <w:spacing w:after="120" w:before="240"/>
      </w:pPr>
      <w:r>
        <w:rPr>
          <w:b/>
          <w:bCs/>
        </w:rPr>
        <w:t xml:space="preserve">In Vitro Gametogenesis</w:t>
      </w:r>
    </w:p>
    <w:p>
      <w:pPr>
        <w:spacing w:after="160"/>
      </w:pPr>
      <w:r>
        <w:t xml:space="preserve">In vitro gametogenesis (IVG) refers to the derivation of functional gametes from pluripotent stem cells, including induced pluripotent stem cells reprogrammed from adult somatic cells. Live mice were produced from IVG-derived gametes beginning in 2012 and 2016. The guest identifies questions IVG would raise regarding consent, parentage, the moral status of embryos, and the distinction between shed cells and reproductive material.</w:t>
      </w:r>
    </w:p>
    <w:p>
      <w:pPr>
        <w:pStyle w:val="Heading2"/>
        <w:spacing w:after="120" w:before="240"/>
      </w:pPr>
      <w:r>
        <w:rPr>
          <w:b/>
          <w:bCs/>
        </w:rPr>
        <w:t xml:space="preserve">Donor Parentage</w:t>
      </w:r>
    </w:p>
    <w:p>
      <w:pPr>
        <w:spacing w:after="160"/>
      </w:pPr>
      <w:r>
        <w:t xml:space="preserve">The Uniform Parentage Act of 1973, adopted in many states, provided that a man who provides semen to a licensed physician for insemination of a married woman other than his wife is treated as if he were not the natural father; the 2002 revision extended donor non-parentage to unmarried recipients in adopting states. Where statutory conditions are not met, courts have reached divergent results. In Jhordan C. v. Mary K. (Cal. Ct. App. 1986), a known donor who provided semen directly rather than through a physician was held to be the legal father. In the Kansas case involving William Marotta, who provided semen to a couple in response to an online advertisement under a written agreement disclaiming parentage, the state sought child support after the recipient family received public assistance, and in 2014 the district court held that because no licensed physician was involved the statutory exclusion did not apply. Courts have generally held that the child's right to support cannot be waived by agreement between the adults, and that a donor's post-birth involvement with the child weighs toward legal parentage.</w:t>
      </w:r>
    </w:p>
    <w:p>
      <w:pPr>
        <w:pStyle w:val="Heading2"/>
        <w:spacing w:after="120" w:before="240"/>
      </w:pPr>
      <w:r>
        <w:rPr>
          <w:b/>
          <w:bCs/>
        </w:rPr>
        <w:t xml:space="preserve">The Gamete Market</w:t>
      </w:r>
    </w:p>
    <w:p>
      <w:pPr>
        <w:spacing w:after="160"/>
      </w:pPr>
      <w:r>
        <w:t xml:space="preserve">Sperm donors in the United States are compensated, typically under $100 per accepted sample, and screened under FDA regulations at 21 C.F.R. Part 1271 governing donor eligibility and infectious disease testing, as well as bank-specific criteria that exclude the large majority of applicants. The guest, drawing on Rene Almeling's Sex Cells (2011), contrasts the employment framing of sperm donation with the gift framing of egg donation. Banks voluntarily limit the number of families per donor; no federal law imposes a cap. Denmark is a leading exporter of donor sperm, in part because Danish law permits anonymous donation.</w:t>
      </w:r>
    </w:p>
    <w:p>
      <w:pPr>
        <w:pStyle w:val="Heading2"/>
        <w:spacing w:after="120" w:before="240"/>
      </w:pPr>
      <w:r>
        <w:rPr>
          <w:b/>
          <w:bCs/>
        </w:rPr>
        <w:t xml:space="preserve">Donor Anonymity</w:t>
      </w:r>
    </w:p>
    <w:p>
      <w:pPr>
        <w:spacing w:after="160"/>
      </w:pPr>
      <w:r>
        <w:t xml:space="preserve">The United Kingdom (2005), Sweden (1985), Austria, Switzerland, the Netherlands, Australia's states, and other jurisdictions require that donor-conceived persons be able to obtain identifying information about their donor upon reaching adulthood, without imposing a duty on parents to disclose donor conception. In the United States, anonymity has been a matter of contract between bank and donor; Washington's 2011 statute required banks to collect identifying information and make it available to donor-conceived persons at eighteen unless the donor signed an affidavit of nondisclosure. In Johnson v. Superior Court (Cal. Ct. App. 2000), the court held that a donor's identity could be discovered in a negligence action against a sperm bank concerning transmission of a genetic kidney disease, subject to a protective order. The guest reviews empirical evidence that ending anonymity reduces donor supply in the short term, shifts the donor pool toward older men, and would require higher compensation.</w:t>
      </w:r>
    </w:p>
    <w:p>
      <w:pPr>
        <w:pStyle w:val="Heading2"/>
        <w:spacing w:after="120" w:before="240"/>
      </w:pPr>
      <w:r>
        <w:rPr>
          <w:b/>
          <w:bCs/>
        </w:rPr>
        <w:t xml:space="preserve">Posthumous Reproduction</w:t>
      </w:r>
    </w:p>
    <w:p>
      <w:pPr>
        <w:spacing w:after="160"/>
      </w:pPr>
      <w:r>
        <w:t xml:space="preserve">Sperm may be cryopreserved before death or retrieved shortly after death. In Hecht v. Superior Court (Cal. Ct. App. 1993), the court held that a decedent's cryopreserved sperm was property subject to disposition by will. In Astrue v. Capato (2012), the Supreme Court held that a child conceived after the father's death is eligible for Social Security survivor benefits only if the child would inherit under the intestacy law of the father's domicile; most states condition inheritance by posthumously conceived children on the decedent's written consent. Courts construing trusts for the benefit of "issue" or "descendants" have similarly looked to the settlor's intent and the decedent's consent, as in In re Martin B. (N.Y. Sur. Ct. 2007). Hospital ethics committees have addressed requests for posthumous sperm retrieval by reference to express or implied consent of the decedent.</w:t>
      </w:r>
    </w:p>
    <w:p>
      <w:pPr>
        <w:pStyle w:val="Heading2"/>
        <w:spacing w:after="120" w:before="240"/>
      </w:pPr>
      <w:r>
        <w:rPr>
          <w:b/>
          <w:bCs/>
        </w:rPr>
        <w:t xml:space="preserve">Disputes Over Cryopreserved Embryos</w:t>
      </w:r>
    </w:p>
    <w:p>
      <w:pPr>
        <w:spacing w:after="160"/>
      </w:pPr>
      <w:r>
        <w:t xml:space="preserve">Beginning with Davis v. Davis (Tenn. 1992), state courts have addressed disputes between former partners over frozen embryos. Kass v. Kass (N.Y. 1998) enforced the parties' written disposition agreement; Davis and A.Z. v. B.Z. (Mass. 2000) held that a party's interest in avoiding genetic parenthood generally prevails over the other party's interest in procreation, and that agreements compelling parenthood will not be enforced; Szafranski v. Dunston (Ill. App. 2015) enforced an oral agreement permitting use. The guest notes an amicus brief filed in 2016 by the Thomas More Law Center arguing that state law recognizing the value of unborn life should favor the party seeking implantation, and expresses his view that a right not to be a genetic parent is desirable as a matter of policy but not required by the Constitution. The Supreme Court has not addressed constitutional rights relating to assisted reproductive technology.</w:t>
      </w:r>
    </w:p>
    <w:p>
      <w:pPr>
        <w:pStyle w:val="Heading2"/>
        <w:spacing w:after="120" w:before="240"/>
      </w:pPr>
      <w:r>
        <w:rPr>
          <w:b/>
          <w:bCs/>
        </w:rPr>
        <w:t xml:space="preserve">Developments to Know</w:t>
      </w:r>
    </w:p>
    <w:p>
      <w:pPr>
        <w:spacing w:after="160"/>
      </w:pPr>
      <w:r>
        <w:t xml:space="preserve">Investigative genetic genealogy, in which crime-scene DNA is compared with profiles voluntarily uploaded to consumer genealogy databases to identify relatives of a suspect, was first used in the 2018 arrest of the Golden State Killer and has since been applied in thousands of investigations; Maryland (2021) and Montana (2021) enacted the first statutes regulating its use, requiring judicial authorization or consent, and the Department of Justice issued an interim policy in 2019. In Carpenter v. United States (2018), the Supreme Court held that acquisition of historical cell-site location records is a Fourth Amendment search notwithstanding the third-party doctrine. 23andMe disclosed a 2023 data breach affecting approximately 6.9 million users, settled related litigation for $30 million in 2024, and filed for Chapter 11 in March 2025, with its assets, including customer genetic data, sold to a nonprofit led by its co-founder; several states have enacted genetic privacy statutes governing direct-to-consumer testing companies, and comprehensive state privacy laws now classify genetic data as sensitive. In 2023, the estate of Henrietta Lacks settled its unjust enrichment suit against Thermo Fisher Scientific on confidential terms. Researchers reported in 2023 the birth of mice from two genetic fathers using IVG-derived eggs; human IVG has not been achieved, and the International Society for Stem Cell Research guidelines address its use. The guest has since served as Deputy Dean of Harvard Law School.</w:t>
      </w:r>
    </w:p>
    <w:p>
      <w:pPr>
        <w:spacing w:after="160"/>
      </w:pPr>
      <w:r>
        <w:t xml:space="preserve">In November 2016, the Shawnee County District Court ruled that William Marotta was not the legal father of the child conceived with his donated semen, finding that the recipients intended to be the child's parents and that Marotta did not; the ruling was not appealed. The Uniform Parentage Act (2017), adopted in California, Washington, Vermont, Rhode Island, Connecticut, Colorado, Maine, and other states, provides that a donor is not a parent of a child conceived by assisted reproduction regardless of physician involvement, and Article 9 requires gamete banks and fertility clinics to collect donor identifying information and disclose it to donor-conceived persons at eighteen unless the donor has signed a declaration of nondisclosure. Colorado's Donor-Conceived Persons and Families of Donor-Conceived Persons Protection Act (SB 22-224), the first such law in the United States, prohibits anonymous gamete donation for donations made on or after January 1, 2025, guarantees donor-conceived persons access to identifying information at eighteen, and limits each donor to twenty-five families. More than a dozen states have enacted "fertility fraud" statutes since 2019 criminalizing a physician's use of his own gametes without patient consent. Arizona enacted A.R.S. § 25-318.03 in 2018, directing courts in divorce to award disputed embryos to the spouse who intends to use them to have a child, with the other spouse relieved of parental obligations. In LePage v. Center for Reproductive Medicine, P.C. (Ala. Feb. 16, 2024), the Alabama Supreme Court held that cryopreserved embryos are "children" under the state's Wrongful Death of a Minor Act, prompting suspension of IVF services in the state until the legislature enacted civil and criminal immunity for providers in March 2024. In Dobbs v. Jackson Women's Health Organization (2022), the Supreme Court overruled Roe v. Wade and Planned Parenthood v. Casey, returning regulation of abortion to the states and raising unresolved questions regarding the constitutional status of assisted reproduction.</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2026-09-24T19:05:02.663Z</dcterms:created>
  <dcterms:modified xsi:type="dcterms:W3CDTF">2026-09-24T19:05:02.663Z</dcterms:modified>
</cp:coreProperties>
</file>

<file path=docProps/custom.xml><?xml version="1.0" encoding="utf-8"?>
<Properties xmlns="http://schemas.openxmlformats.org/officeDocument/2006/custom-properties" xmlns:vt="http://schemas.openxmlformats.org/officeDocument/2006/docPropsVTypes"/>
</file>