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Lawyers and the Bottle</w:t>
      </w:r>
    </w:p>
    <w:p>
      <w:pPr>
        <w:spacing w:after="200"/>
      </w:pPr>
      <w:r>
        <w:rPr>
          <w:rFonts w:ascii="Montserrat" w:cs="Montserrat" w:eastAsia="Montserrat" w:hAnsi="Montserrat"/>
          <w:b/>
          <w:bCs/>
          <w:color w:val="E87722"/>
          <w:sz w:val="24"/>
          <w:szCs w:val="24"/>
        </w:rPr>
        <w:t xml:space="preserve">Eileen Travis and Meredith Heller</w:t>
      </w:r>
    </w:p>
    <w:p>
      <w:pPr>
        <w:pBdr>
          <w:bottom w:val="single" w:color="E87722" w:sz="6"/>
        </w:pBdr>
        <w:spacing w:after="300"/>
      </w:pPr>
    </w:p>
    <w:p>
      <w:pPr>
        <w:pStyle w:val="Heading2"/>
        <w:spacing w:after="120" w:before="240"/>
      </w:pPr>
      <w:r>
        <w:rPr>
          <w:b/>
          <w:bCs/>
        </w:rPr>
        <w:t xml:space="preserve">Overview</w:t>
      </w:r>
    </w:p>
    <w:p>
      <w:pPr>
        <w:spacing w:after="160"/>
      </w:pPr>
      <w:r>
        <w:t>This program examines alcohol and substance use disorders and mental health conditions in the legal profession and the professional responsibility consequences that can follow. It addresses the prevalence of these conditions among lawyers and law students, the professional and cultural factors that contribute to them, the confidentiality and reporting rules that protect lawyers who seek help in New York, the services provided by lawyer assistance programs, controlled-substance use and misappropriation of client funds, monitoring agreements, the use of rehabilitation evidence in bar admission and discipline, the structure of attorney discipline in New York, and the diversion program adopted in New York's uniform disciplinary rules.</w:t>
      </w:r>
    </w:p>
    <w:p>
      <w:pPr>
        <w:pStyle w:val="Heading2"/>
        <w:spacing w:after="120" w:before="240"/>
      </w:pPr>
      <w:r>
        <w:rPr>
          <w:b/>
          <w:bCs/>
        </w:rPr>
        <w:t xml:space="preserve">Prevalence</w:t>
      </w:r>
    </w:p>
    <w:p>
      <w:pPr>
        <w:spacing w:after="160"/>
      </w:pPr>
      <w:r>
        <w:t xml:space="preserve">The guests report that approximately twenty percent of lawyers meet criteria for an alcohol or substance use disorder, roughly twice the rate in the general population, and that depression is approximately three times more prevalent among lawyers than among comparable professionals. Earlier research, including a 1990 Johns Hopkins study of 104 occupations and a 1990 Washington State survey, found elevated rates of depression and problem drinking among lawyers. Studies of law students, including work by Benjamin, Kaszniak, Sales, and Shanfield (1986), found that symptoms of depression and anxiety, at population levels before law school, rose markedly during the first year and remained elevated after graduation.</w:t>
      </w:r>
    </w:p>
    <w:p>
      <w:pPr>
        <w:pStyle w:val="Heading2"/>
        <w:spacing w:after="120" w:before="240"/>
      </w:pPr>
      <w:r>
        <w:rPr>
          <w:b/>
          <w:bCs/>
        </w:rPr>
        <w:t xml:space="preserve">Risk Factors</w:t>
      </w:r>
    </w:p>
    <w:p>
      <w:pPr>
        <w:spacing w:after="160"/>
      </w:pPr>
      <w:r>
        <w:t xml:space="preserve">The guests identify occupational stress, long hours and heavy workloads, deadline pressure, the adversarial nature of practice, the expectation that lawyers solve problems rather than have them, and perfectionistic personality traits as contributing factors. They describe the progression from social use to use for effect, self-medication of anxiety and depression, tolerance, and dependence. Law school culture, firm social events at which drinking is expected, and client entertainment are identified as environmental contributors, with particular pressure on junior lawyers and on lawyers in early recovery.</w:t>
      </w:r>
    </w:p>
    <w:p>
      <w:pPr>
        <w:pStyle w:val="Heading2"/>
        <w:spacing w:after="120" w:before="240"/>
      </w:pPr>
      <w:r>
        <w:rPr>
          <w:b/>
          <w:bCs/>
        </w:rPr>
        <w:t xml:space="preserve">Confidentiality: Judiciary Law § 499</w:t>
      </w:r>
    </w:p>
    <w:p>
      <w:pPr>
        <w:spacing w:after="160"/>
      </w:pPr>
      <w:r>
        <w:t xml:space="preserve">New York Judiciary Law § 499 provides that confidential information communicated to a lawyer assistance committee established by a bar association, and any information obtained by such a committee in the course of its work, is privileged and confidential, and that members and staff of such committees are immune from civil liability for good-faith actions within the scope of their duties. The guests describe this protection as functionally equivalent to the attorney-client privilege and essential to lawyers' willingness to seek help.</w:t>
      </w:r>
    </w:p>
    <w:p>
      <w:pPr>
        <w:pStyle w:val="Heading2"/>
        <w:spacing w:after="120" w:before="240"/>
      </w:pPr>
      <w:r>
        <w:rPr>
          <w:b/>
          <w:bCs/>
        </w:rPr>
        <w:t xml:space="preserve">The Reporting Rule and Its Exemption</w:t>
      </w:r>
    </w:p>
    <w:p>
      <w:pPr>
        <w:spacing w:after="160"/>
      </w:pPr>
      <w:r>
        <w:t xml:space="preserve">Rule 8.3(a) of the New York Rules of Professional Conduct requires a lawyer who knows that another lawyer has committed a violation raising a substantial question as to that lawyer's honesty, trustworthiness, or fitness to report the violation to a tribunal or other authority empowered to investigate. Rule 8.3(c) exempts information protected by Rule 1.6 and information gained by a lawyer or judge while participating in a bona fide lawyer assistance program. The guests emphasize that a lawyer who discloses substance use, including illegal drug use, or mental health conditions to a lawyer assistance program representative triggers no reporting obligation.</w:t>
      </w:r>
    </w:p>
    <w:p>
      <w:pPr>
        <w:pStyle w:val="Heading2"/>
        <w:spacing w:after="120" w:before="240"/>
      </w:pPr>
      <w:r>
        <w:rPr>
          <w:b/>
          <w:bCs/>
        </w:rPr>
        <w:t xml:space="preserve">Lawyer Assistance Programs</w:t>
      </w:r>
    </w:p>
    <w:p>
      <w:pPr>
        <w:spacing w:after="160"/>
      </w:pPr>
      <w:r>
        <w:t>The New York City Bar Association's Lawyer Assistance Program, founded in 1999, provides free and confidential assessment, referral, supportive counseling, peer support, and monitoring to lawyers, judges, law students, and their family members. Services include a confidential helpline that accepts anonymous calls, referral to treatment and to self-help groups including a weekly lawyers' meeting of Alcoholics Anonymous hosted at the Association, and educational programs for law schools, firms, and bar associations. The ABA Commission on Lawyer Assistance Programs coordinates programs in every state, and comparable programs exist for physicians and in other countries.</w:t>
      </w:r>
    </w:p>
    <w:p>
      <w:pPr>
        <w:pStyle w:val="Heading2"/>
        <w:spacing w:after="120" w:before="240"/>
      </w:pPr>
      <w:r>
        <w:rPr>
          <w:b/>
          <w:bCs/>
        </w:rPr>
        <w:t xml:space="preserve">Controlled Substances and Professional Misconduct</w:t>
      </w:r>
    </w:p>
    <w:p>
      <w:pPr>
        <w:spacing w:after="160"/>
      </w:pPr>
      <w:r>
        <w:t xml:space="preserve">Use of another person's prescription medication or possession of controlled substances is a crime under New York Penal Law Article 220 and federal law, and illegal conduct that adversely reflects on fitness is professional misconduct under Rule 8.4(b). The guests note increasing misuse of prescription opioids and stimulants, particularly among law students and young lawyers, and explain that the confidentiality of lawyer assistance programs under Judiciary Law § 499 and the exemption in Rule 8.3(c) permit lawyers to disclose such conduct in seeking help.</w:t>
      </w:r>
    </w:p>
    <w:p>
      <w:pPr>
        <w:pStyle w:val="Heading2"/>
        <w:spacing w:after="120" w:before="240"/>
      </w:pPr>
      <w:r>
        <w:rPr>
          <w:b/>
          <w:bCs/>
        </w:rPr>
        <w:t xml:space="preserve">Client Funds and the Lawyers' Fund for Client Protection</w:t>
      </w:r>
    </w:p>
    <w:p>
      <w:pPr>
        <w:spacing w:after="160"/>
      </w:pPr>
      <w:r>
        <w:t>Rule 1.15 requires lawyers to hold client funds in a separate account and prohibits commingling and misappropriation; conversion of client funds ordinarily results in disbarment. The Lawyers' Fund for Client Protection, established under Judiciary Law § 468-b, reimburses clients for losses caused by dishonest conduct of New York lawyers, with a maximum award (as of 2026) of $450,000 per claim, and reports annually that alcohol, drug, gambling, and mental health problems are frequently associated with the misconduct it reimburses. The guests identify neglect of client matters, particularly failure to communicate, as the most common complaint and the typical precursor to more serious misconduct.</w:t>
      </w:r>
    </w:p>
    <w:p>
      <w:pPr>
        <w:pStyle w:val="Heading2"/>
        <w:spacing w:after="120" w:before="240"/>
      </w:pPr>
      <w:r>
        <w:rPr>
          <w:b/>
          <w:bCs/>
        </w:rPr>
        <w:t xml:space="preserve">Monitoring Agreements</w:t>
      </w:r>
    </w:p>
    <w:p>
      <w:pPr>
        <w:spacing w:after="160"/>
      </w:pPr>
      <w:r>
        <w:t xml:space="preserve">Lawyer assistance programs offer formal and informal monitoring. Under a formal monitoring agreement, typically entered in connection with a disciplinary or admission proceeding, the lawyer agrees to random toxicology screening at the lawyer's expense, attendance at a specified number of recovery meetings, regular in-person and telephone contact with an assigned monitor, and periodic compliance reports to the referring committee limited to whether the lawyer has complied. Informal monitoring serves bar applicants and lawyers who seek help before any proceeding, generating documentation of rehabilitation. The guests report high rates of compliance and recovery among monitored lawyers.</w:t>
      </w:r>
    </w:p>
    <w:p>
      <w:pPr>
        <w:pStyle w:val="Heading2"/>
        <w:spacing w:after="120" w:before="240"/>
      </w:pPr>
      <w:r>
        <w:rPr>
          <w:b/>
          <w:bCs/>
        </w:rPr>
        <w:t xml:space="preserve">Character and Fitness</w:t>
      </w:r>
    </w:p>
    <w:p>
      <w:pPr>
        <w:spacing w:after="160"/>
      </w:pPr>
      <w:r>
        <w:t xml:space="preserve">Applicants for admission in New York must establish character and fitness before the Appellate Division committees. A history of substance-related conduct, including driving while intoxicated, does not preclude admission but requires evidence of rehabilitation, and participation in lawyer assistance program monitoring is commonly relied on for that purpose. The guests describe the program's cooperation with the character and fitness committees of the First and Second Departments.</w:t>
      </w:r>
    </w:p>
    <w:p>
      <w:pPr>
        <w:pStyle w:val="Heading2"/>
        <w:spacing w:after="120" w:before="240"/>
      </w:pPr>
      <w:r>
        <w:rPr>
          <w:b/>
          <w:bCs/>
        </w:rPr>
        <w:t xml:space="preserve">Attorney Discipline in New York</w:t>
      </w:r>
    </w:p>
    <w:p>
      <w:pPr>
        <w:spacing w:after="160"/>
      </w:pPr>
      <w:r>
        <w:t xml:space="preserve">Complaints to the attorney grievance committees are screened, and the respondent is given an opportunity to answer; failure to respond may itself constitute misconduct and result in interim suspension for non-cooperation. At the time of the program, New York was transitioning from separate procedures in each Appellate Department to the Rules for Attorney Disciplinary Matters, 22 NYCRR Part 1240, effective July 1, 2016 (with implementation on October 1, 2016). Under Part 1240, dispositions range from a letter of advisement (not discipline), through private admonition, public censure, suspension, and disbarment; reinstatement after disbarment may be sought after seven years. Private admonition and public discipline must be disclosed to malpractice carriers and in applications for admission in other jurisdictions.</w:t>
      </w:r>
    </w:p>
    <w:p>
      <w:pPr>
        <w:pStyle w:val="Heading2"/>
        <w:spacing w:after="120" w:before="240"/>
      </w:pPr>
      <w:r>
        <w:rPr>
          <w:b/>
          <w:bCs/>
        </w:rPr>
        <w:t xml:space="preserve">Diversion</w:t>
      </w:r>
    </w:p>
    <w:p>
      <w:pPr>
        <w:spacing w:after="160"/>
      </w:pPr>
      <w:r>
        <w:t xml:space="preserve">Section 1240.11 of the uniform rules provides that where a respondent's alleged misconduct is attributable to alcohol or substance abuse or other mental or physical health condition, the court may, at any stage, stay the proceeding and divert the respondent to a monitoring program administered by a lawyer assistance program; upon successful completion, the court may dismiss the proceeding or take other appropriate action, and upon failure, the proceeding resumes. The guests characterize diversion as an opportunity for lawyers whose misconduct results from illness to obtain treatment and avoid discipline while protecting clients.</w:t>
      </w:r>
    </w:p>
    <w:p>
      <w:pPr>
        <w:pStyle w:val="Heading2"/>
        <w:spacing w:after="120" w:before="240"/>
      </w:pPr>
      <w:r>
        <w:rPr>
          <w:b/>
          <w:bCs/>
        </w:rPr>
        <w:t xml:space="preserve">Developments to Know</w:t>
      </w:r>
    </w:p>
    <w:p>
      <w:pPr>
        <w:spacing w:after="160"/>
      </w:pPr>
      <w:r>
        <w:t>In February 2016, the ABA Commission on Lawyer Assistance Programs and the Hazelden Betty Ford Foundation published the first national study of substance use and mental health among practicing lawyers (Krill, Johnson &amp; Albert, Journal of Addiction Medicine), surveying 12,825 licensed attorneys; it found that 20.6 percent screened positive for hazardous, harmful, or potentially dependent drinking, 28 percent reported symptoms of depression, 19 percent anxiety, and 23 percent stress, with the highest rates of problematic drinking among lawyers under thirty and in the first ten years of practice. The National Task Force on Lawyer Well-Being's 2017 report, The Path to Lawyer Well-Being, recommended reforms for regulators, law schools, employers, and bar associations, and the ABA adopted the Well-Being Pledge for legal employers in 2018. In 2020, the New York Court of Appeals removed the mental-health inquiry from the state's bar application. In September 2026 the ABA Commission on Lawyer Assistance Programs released a follow-up national study of approximately 37,000 lawyers reporting hazardous drinking roughly ten percentage points below the 2016 level and burnout among nearly half of respondents. Part 1240 took effect as scheduled and the diversion program under § 1240.11 has been applied across all four Appellate Departments. The Lawyers' Fund for Client Protection's annual reports continue to identify substance use, gambling, and mental illness as contributing factors in a substantial portion of reimbursed losses. Since 2016, misuse of prescription opioids has declined while counterfeit pills containing fentanyl have driven most overdose deaths, and New York legalized adult-use cannabis in 2021. Rule 8.3(c) and Judiciary Law § 499 are unchanged. In February 2026, the New York City Bar Association announced the retirement of Eileen Travis after more than twenty-five years as the Lawyer Assistance Program's founding director and the appointment of Meredith Heller as her successor. The program's confidential helpline is 212-302-5787.</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2026-09-24T07:29:47.071Z</dcterms:created>
  <dcterms:modified xsi:type="dcterms:W3CDTF">2026-09-24T07:29:47.071Z</dcterms:modified>
</cp:coreProperties>
</file>

<file path=docProps/custom.xml><?xml version="1.0" encoding="utf-8"?>
<Properties xmlns="http://schemas.openxmlformats.org/officeDocument/2006/custom-properties" xmlns:vt="http://schemas.openxmlformats.org/officeDocument/2006/docPropsVTypes"/>
</file>