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From Super PACs to Dark Money</w:t>
      </w:r>
    </w:p>
    <w:p>
      <w:pPr>
        <w:spacing w:after="200"/>
      </w:pPr>
      <w:r>
        <w:rPr>
          <w:rFonts w:ascii="Montserrat" w:cs="Montserrat" w:eastAsia="Montserrat" w:hAnsi="Montserrat"/>
          <w:b/>
          <w:bCs/>
          <w:color w:val="E87722"/>
          <w:sz w:val="24"/>
          <w:szCs w:val="24"/>
        </w:rPr>
        <w:t xml:space="preserve">Prof. Richard Briffault</w:t>
      </w:r>
    </w:p>
    <w:p>
      <w:pPr>
        <w:pBdr>
          <w:bottom w:val="single" w:color="E87722" w:sz="6"/>
        </w:pBdr>
        <w:spacing w:after="300"/>
      </w:pPr>
    </w:p>
    <w:p>
      <w:pPr>
        <w:pStyle w:val="Heading2"/>
        <w:spacing w:after="120" w:before="240"/>
      </w:pPr>
      <w:r>
        <w:rPr>
          <w:b/>
          <w:bCs/>
        </w:rPr>
        <w:t xml:space="preserve">Overview</w:t>
      </w:r>
    </w:p>
    <w:p>
      <w:pPr>
        <w:spacing w:after="160"/>
      </w:pPr>
      <w:r>
        <w:t>This program examines the constitutional and statutory framework of federal campaign finance law and proposals to reform it. It addresses the justifications for regulating money in politics, the distinction between contribution and expenditure limits established in Buckley v. Valeo, political action committees and super PACs, the coordination standard for independent expenditures, disclosure requirements and the rise of undisclosed spending by tax-exempt organizations, the history of the Federal Election Campaign Act and its amendments, political equality as a rationale for regulation, the relationship between campaign spending and judicial elections, the prohibition on foreign contributions, disclosure as an informational interest, comparative approaches in other democracies, and public financing models.</w:t>
      </w:r>
    </w:p>
    <w:p>
      <w:pPr>
        <w:pStyle w:val="Heading2"/>
        <w:spacing w:after="120" w:before="240"/>
      </w:pPr>
      <w:r>
        <w:rPr>
          <w:b/>
          <w:bCs/>
        </w:rPr>
        <w:t xml:space="preserve">Buckley v. Valeo and the Contribution–Expenditure Distinction</w:t>
      </w:r>
    </w:p>
    <w:p>
      <w:pPr>
        <w:spacing w:after="160"/>
      </w:pPr>
      <w:r>
        <w:t xml:space="preserve">In Buckley v. Valeo, 424 U.S. 1 (1976), the Supreme Court held that the Federal Election Campaign Act's contribution limits were constitutional as a means of preventing corruption and the appearance of corruption, but that limits on independent expenditures, on candidates' expenditures from personal funds, and on total campaign spending violated the First Amendment. The Court reasoned that expenditure limits impose a direct restraint on political expression while contribution limits impose only a marginal restriction on the contributor's speech, and that the prevention of quid pro quo corruption and its appearance is the sole governmental interest sufficient to justify regulation. The guest describes the resulting system, in which candidates may spend without limit but must raise funds in capped amounts, as the source of most subsequent developments in campaign finance.</w:t>
      </w:r>
    </w:p>
    <w:p>
      <w:pPr>
        <w:pStyle w:val="Heading2"/>
        <w:spacing w:after="120" w:before="240"/>
      </w:pPr>
      <w:r>
        <w:rPr>
          <w:b/>
          <w:bCs/>
        </w:rPr>
        <w:t xml:space="preserve">Political Action Committees</w:t>
      </w:r>
    </w:p>
    <w:p>
      <w:pPr>
        <w:spacing w:after="160"/>
      </w:pPr>
      <w:r>
        <w:t xml:space="preserve">Federal law has prohibited corporate contributions to federal candidates since the Tillman Act of 1907 and union contributions since the Smith–Connally Act of 1943 and the Taft–Hartley Act of 1947. The political action committee originated in 1943 as a separate segregated fund financed by voluntary contributions from union members, and the Federal Election Campaign Act of 1971 authorized corporations and unions to establish such funds. Contributions to and by traditional PACs are subject to limits under 52 U.S.C. § 30116.</w:t>
      </w:r>
    </w:p>
    <w:p>
      <w:pPr>
        <w:pStyle w:val="Heading2"/>
        <w:spacing w:after="120" w:before="240"/>
      </w:pPr>
      <w:r>
        <w:rPr>
          <w:b/>
          <w:bCs/>
        </w:rPr>
        <w:t xml:space="preserve">Citizens United and Super PACs</w:t>
      </w:r>
    </w:p>
    <w:p>
      <w:pPr>
        <w:spacing w:after="160"/>
      </w:pPr>
      <w:r>
        <w:t xml:space="preserve">In Citizens United v. FEC, 558 U.S. 310 (2010), the Court held five to four that the federal prohibition on independent expenditures by corporations and unions from treasury funds violated the First Amendment, overruling Austin v. Michigan Chamber of Commerce (1990) and part of McConnell v. FEC (2003), while upholding disclosure and disclaimer requirements. In SpeechNow.org v. FEC, 599 F.3d 686 (D.C. Cir. 2010) (en banc), the D.C. Circuit held that contributions to a political committee that makes only independent expenditures cannot be limited, giving rise to independent-expenditure-only committees, or super PACs, which may accept unlimited contributions from individuals, corporations, and unions but must register with the FEC and disclose their donors. The guest notes that corporate treasury spending following Citizens United has been more limited than anticipated.</w:t>
      </w:r>
    </w:p>
    <w:p>
      <w:pPr>
        <w:pStyle w:val="Heading2"/>
        <w:spacing w:after="120" w:before="240"/>
      </w:pPr>
      <w:r>
        <w:rPr>
          <w:b/>
          <w:bCs/>
        </w:rPr>
        <w:t xml:space="preserve">Coordination</w:t>
      </w:r>
    </w:p>
    <w:p>
      <w:pPr>
        <w:spacing w:after="160"/>
      </w:pPr>
      <w:r>
        <w:t xml:space="preserve">An expenditure is independent only if it is not made in cooperation, consultation, or concert with, or at the request or suggestion of, a candidate or party; a coordinated expenditure is treated as an in-kind contribution subject to limits. FEC regulations at 11 C.F.R. § 109.21 apply a three-part test of payment, content, and conduct. The guest observes that coordination is difficult to prove, that contact alone does not establish it, and that parallel messaging is permitted.</w:t>
      </w:r>
    </w:p>
    <w:p>
      <w:pPr>
        <w:pStyle w:val="Heading2"/>
        <w:spacing w:after="120" w:before="240"/>
      </w:pPr>
      <w:r>
        <w:rPr>
          <w:b/>
          <w:bCs/>
        </w:rPr>
        <w:t xml:space="preserve">Disclosure and Undisclosed Spending</w:t>
      </w:r>
    </w:p>
    <w:p>
      <w:pPr>
        <w:spacing w:after="160"/>
      </w:pPr>
      <w:r>
        <w:t xml:space="preserve">Political committees must report contributions and expenditures to the FEC, and Buckley, McConnell, and Citizens United upheld disclosure requirements as serving the informational interest of voters, subject to an as-applied exception for groups facing a reasonable probability of threats or harassment, as recognized in NAACP v. Alabama (1958) and Brown v. Socialist Workers '74 Campaign Committee (1982). Organizations exempt under Internal Revenue Code § 501(c)(4), (5), and (6) may engage in political activity that is not their primary purpose, must report independent expenditures and electioneering communications above statutory thresholds, but are not required to disclose their donors, producing what is commonly termed dark money. The guest identifies donor disclosure for such organizations as a reform the Court's precedents would permit.</w:t>
      </w:r>
    </w:p>
    <w:p>
      <w:pPr>
        <w:pStyle w:val="Heading2"/>
        <w:spacing w:after="120" w:before="240"/>
      </w:pPr>
      <w:r>
        <w:rPr>
          <w:b/>
          <w:bCs/>
        </w:rPr>
        <w:t xml:space="preserve">Statutory History</w:t>
      </w:r>
    </w:p>
    <w:p>
      <w:pPr>
        <w:spacing w:after="160"/>
      </w:pPr>
      <w:r>
        <w:t xml:space="preserve">The Federal Election Campaign Act of 1971, substantially amended in 1974 following the Watergate scandal, established contribution limits, expenditure limits, comprehensive disclosure, the Federal Election Commission, and public financing of presidential elections. The Bipartisan Campaign Reform Act of 2002 (McCain–Feingold) prohibited national parties from raising unregulated "soft money" and regulated electioneering communications; it was largely upheld in McConnell v. FEC (2003) and subsequently narrowed in FEC v. Wisconsin Right to Life (2007) and Citizens United. In McCutcheon v. FEC (2014), the Court struck down aggregate limits on an individual's total contributions in an election cycle.</w:t>
      </w:r>
    </w:p>
    <w:p>
      <w:pPr>
        <w:pStyle w:val="Heading2"/>
        <w:spacing w:after="120" w:before="240"/>
      </w:pPr>
      <w:r>
        <w:rPr>
          <w:b/>
          <w:bCs/>
        </w:rPr>
        <w:t xml:space="preserve">Political Equality and the Court</w:t>
      </w:r>
    </w:p>
    <w:p>
      <w:pPr>
        <w:spacing w:after="160"/>
      </w:pPr>
      <w:r>
        <w:t xml:space="preserve">Buckley v. Valeo (1976) rejected the equalization of speakers' relative ability to influence elections as a justification for expenditure limits, and the Court has adhered to that position in Davis v. FEC (2008), which struck down the "Millionaire's Amendment" adjusting contribution limits for opponents of self-financed candidates, and Arizona Free Enterprise Club's Freedom Club PAC v. Bennett (2011), which struck down a public financing scheme that provided matching funds triggered by an opponent's spending. The guest distinguishes the amount of money in elections, which he does not regard as excessive relative to commercial advertising, from its distribution and sources, which he regards as the central problem.</w:t>
      </w:r>
    </w:p>
    <w:p>
      <w:pPr>
        <w:pStyle w:val="Heading2"/>
        <w:spacing w:after="120" w:before="240"/>
      </w:pPr>
      <w:r>
        <w:rPr>
          <w:b/>
          <w:bCs/>
        </w:rPr>
        <w:t xml:space="preserve">Judicial Elections and Caperton</w:t>
      </w:r>
    </w:p>
    <w:p>
      <w:pPr>
        <w:spacing w:after="160"/>
      </w:pPr>
      <w:r>
        <w:t xml:space="preserve">In Caperton v. A.T. Massey Coal Co., 556 U.S. 868 (2009), the Court held that due process required a West Virginia Supreme Court justice to recuse himself from a case involving a company whose chief executive had spent approximately $3 million supporting the justice's election while the appeal was pending. The guest cites the case as an illustration of independent spending whose message bears no relation to the spender's interest.</w:t>
      </w:r>
    </w:p>
    <w:p>
      <w:pPr>
        <w:pStyle w:val="Heading2"/>
        <w:spacing w:after="120" w:before="240"/>
      </w:pPr>
      <w:r>
        <w:rPr>
          <w:b/>
          <w:bCs/>
        </w:rPr>
        <w:t xml:space="preserve">Foreign Nationals</w:t>
      </w:r>
    </w:p>
    <w:p>
      <w:pPr>
        <w:spacing w:after="160"/>
      </w:pPr>
      <w:r>
        <w:t xml:space="preserve">52 U.S.C. § 30121 prohibits foreign nationals from making contributions or expenditures in connection with any federal, state, or local election, and prohibits any person from soliciting or accepting such contributions. In Bluman v. FEC, 800 F. Supp. 2d 281 (D.D.C. 2011), summarily affirmed by the Supreme Court in 2012, a three-judge court upheld the prohibition. The guest notes that Citizens United raised the unresolved question of political spending by domestic corporations with foreign ownership, and that contributions below the $200 itemization threshold are not individually reported.</w:t>
      </w:r>
    </w:p>
    <w:p>
      <w:pPr>
        <w:pStyle w:val="Heading2"/>
        <w:spacing w:after="120" w:before="240"/>
      </w:pPr>
      <w:r>
        <w:rPr>
          <w:b/>
          <w:bCs/>
        </w:rPr>
        <w:t xml:space="preserve">Disclosure as an Informational Interest</w:t>
      </w:r>
    </w:p>
    <w:p>
      <w:pPr>
        <w:spacing w:after="160"/>
      </w:pPr>
      <w:r>
        <w:t xml:space="preserve">Buckley identified three interests served by disclosure: providing voters with information about the sources of candidate support, deterring corruption, and facilitating enforcement of contribution limits. Doe v. Reed (2010) upheld disclosure of referendum petition signatories. The guest argues that disclosure serves as a voting cue comparable to party affiliation, particularly in ballot measure elections.</w:t>
      </w:r>
    </w:p>
    <w:p>
      <w:pPr>
        <w:pStyle w:val="Heading2"/>
        <w:spacing w:after="120" w:before="240"/>
      </w:pPr>
      <w:r>
        <w:rPr>
          <w:b/>
          <w:bCs/>
        </w:rPr>
        <w:t xml:space="preserve">Comparative Approaches</w:t>
      </w:r>
    </w:p>
    <w:p>
      <w:pPr>
        <w:spacing w:after="160"/>
      </w:pPr>
      <w:r>
        <w:t xml:space="preserve">Many democracies limit campaign spending, provide free or subsidized broadcast time, or publicly fund political parties. The guest attributes the United States' candidate-centered system to primary elections and the separation of powers, and observes that free broadcast time has become a less effective reform as media have fragmented.</w:t>
      </w:r>
    </w:p>
    <w:p>
      <w:pPr>
        <w:pStyle w:val="Heading2"/>
        <w:spacing w:after="120" w:before="240"/>
      </w:pPr>
      <w:r>
        <w:rPr>
          <w:b/>
          <w:bCs/>
        </w:rPr>
        <w:t xml:space="preserve">Public Financing Models</w:t>
      </w:r>
    </w:p>
    <w:p>
      <w:pPr>
        <w:spacing w:after="160"/>
      </w:pPr>
      <w:r>
        <w:t>The presidential public funding system established in 1974 provides grants to nominees who accept spending limits; no major-party nominee has accepted general-election funding since 2008, because the grant amount fell below the cost of competitive campaigns. New York City's program, administered by the Campaign Finance Board, matches small contributions from city residents at a multiple (currently 8 to 1 on the first $250) for candidates who accept spending limits and compliance requirements; in 2013 the Board denied public funds to mayoral candidate John Liu after finding straw-donor violations. The guest expresses a preference for public funding that "levels up" over expenditure limits.</w:t>
      </w:r>
    </w:p>
    <w:p>
      <w:pPr>
        <w:pStyle w:val="Heading2"/>
        <w:spacing w:after="120" w:before="240"/>
      </w:pPr>
      <w:r>
        <w:rPr>
          <w:b/>
          <w:bCs/>
        </w:rPr>
        <w:t xml:space="preserve">Developments to Know</w:t>
      </w:r>
    </w:p>
    <w:p>
      <w:pPr>
        <w:spacing w:after="160"/>
      </w:pPr>
      <w:r>
        <w:t>Justice Neil Gorsuch was confirmed to Justice Scalia's seat in 2017, and the Court has continued to invalidate campaign finance restrictions. In FEC v. Ted Cruz for Senate (2022), the Court held unconstitutional the limit on a campaign's use of post-election contributions to repay a candidate's personal loans. In National Republican Senatorial Committee v. FEC (June 30, 2026), the Court held six to three that the limits on coordinated expenditures by political party committees in 52 U.S.C. § 30116(d) violate the First Amendment, overruling FEC v. Colorado Republican Federal Campaign Committee (2001); contribution limits, earmarking rules, and disclosure requirements remain in effect. In Americans for Prosperity Foundation v. Bonta (2021), the Court held that compelled disclosure of donors is subject to exacting scrutiny requiring narrow tailoring, and struck down California's requirement that charities disclose major donors to the state. In Advisory Opinion 2024-01, the FEC permitted candidates to coordinate paid door-to-door canvassing with super PACs. The DISCLOSE Act, which would require disclosure of donors to organizations making political expenditures, has been introduced in every Congress since 2010 without enactment. The individual contribution limit to a federal candidate, $2,600 per election at the time of the program, is $3,500 per election for 2025–2026. Seattle's Democracy Voucher Program, approved by voters in 2015, was first used in 2017; studies report that the share of Seattle residents contributing to local campaigns roughly doubled, and voters renewed the program's levy in 2025. New York State's Public Campaign Finance Program, matching small contributions to candidates for state legislative and statewide office, took effect for the 2024 election cycle. Concerns regarding foreign influence were heightened by findings of Russian interference in the 2016 election, and the FEC has addressed spending by foreign-owned domestic corporations through advisory opinions rather than rulemaking. The FEC has lacked a quorum of four commissioners since April 30, 2025. Total spending in the 2024 federal election cycle was approximately $16 billion, and undisclosed spending reached record levels. The guest served as Reporter for the American Law Institute's Principles of the Law, Government Ethics, approved in 2023.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2026-09-24T07:37:46.330Z</dcterms:created>
  <dcterms:modified xsi:type="dcterms:W3CDTF">2026-09-24T07:37:46.330Z</dcterms:modified>
</cp:coreProperties>
</file>

<file path=docProps/custom.xml><?xml version="1.0" encoding="utf-8"?>
<Properties xmlns="http://schemas.openxmlformats.org/officeDocument/2006/custom-properties" xmlns:vt="http://schemas.openxmlformats.org/officeDocument/2006/docPropsVTypes"/>
</file>