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The Madoff Fraud: Unwinding a Ponzi Empire</w:t>
      </w:r>
    </w:p>
    <w:p>
      <w:pPr>
        <w:spacing w:after="200"/>
      </w:pPr>
      <w:r>
        <w:rPr>
          <w:rFonts w:ascii="Montserrat" w:cs="Montserrat" w:eastAsia="Montserrat" w:hAnsi="Montserrat"/>
          <w:b/>
          <w:bCs/>
          <w:color w:val="E87722"/>
          <w:sz w:val="24"/>
          <w:szCs w:val="24"/>
        </w:rPr>
        <w:t xml:space="preserve">David Sheehan</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examines the structure of the Bernard L. Madoff Ponzi scheme and the liquidation of Bernard L. Madoff Investment Securities LLC (BLMIS) under the Securities Investor Protection Act. It addresses the purported investment strategy, the characteristics of a Ponzi scheme, the role of feeder funds and insiders, the categories of victims, the appointment and powers of a trustee, the role of the Securities Investor Protection Corporation, the fraudulent transfer principles that govern recovery, the determination of customer claims under the net equity method, the recovery of fictitious profits from investors who withdrew more than they invested, the applicable lookback periods, the good-faith defense, and the doctrine of in pari delicto as applied to a trustee's common-law claims against third parties.</w:t>
      </w:r>
    </w:p>
    <w:p>
      <w:pPr>
        <w:pStyle w:val="Heading2"/>
        <w:spacing w:after="120" w:before="240"/>
      </w:pPr>
      <w:r>
        <w:rPr>
          <w:b/>
          <w:bCs/>
        </w:rPr>
        <w:t xml:space="preserve">The Ponzi Scheme and the Split-Strike Conversion Strategy</w:t>
      </w:r>
    </w:p>
    <w:p>
      <w:pPr>
        <w:spacing w:after="160"/>
      </w:pPr>
      <w:r>
        <w:t xml:space="preserve">Bernard L. Madoff Investment Securities LLC (BLMIS) represented to customers that it employed a "split-strike conversion" strategy consisting of a basket of S&amp;P 100 equities hedged with index put and call options. No securities were purchased for customer accounts; customer withdrawals were funded with deposits from other customers. A Ponzi scheme is an investment fraud in which returns to existing investors are paid from the contributions of new investors rather than from legitimate profits. Madoff pleaded guilty in March 2009 to eleven federal felonies, including securities fraud, investment adviser fraud, mail and wire fraud, money laundering, and perjury, and was sentenced to 150 years' imprisonment. The trustee's forensic reconstruction established that the scheme operated from at least 1981; customer statements as of November 30, 2008 reflected approximately $64 billion in fictitious holdings, while net principal losses were approximately $17.5 billion.</w:t>
      </w:r>
    </w:p>
    <w:p>
      <w:pPr>
        <w:pStyle w:val="Heading2"/>
        <w:spacing w:after="120" w:before="240"/>
      </w:pPr>
      <w:r>
        <w:rPr>
          <w:b/>
          <w:bCs/>
        </w:rPr>
        <w:t xml:space="preserve">Feeder Funds, Insiders, and Red Flags</w:t>
      </w:r>
    </w:p>
    <w:p>
      <w:pPr>
        <w:spacing w:after="160"/>
      </w:pPr>
      <w:r>
        <w:t xml:space="preserve">Beginning in the early 1990s, BLMIS received the majority of its capital through offshore feeder funds organized in the British Virgin Islands, Bermuda, and the Cayman Islands, which pooled investments from high-net-worth individuals and institutions, frequently through nominee accounts, and charged management and performance fees while delegating all investment activity to Madoff. The guest identifies red flags including returns without volatility, the absence of any management fee charged by BLMIS, refusal to permit independent verification of the strategy, and restrictions on redemptions. Under the Investment Advisers Act of 1940 and the antifraud provisions of the federal securities laws, fund managers owe fiduciary duties of disclosure and due diligence to their investors. The guest describes certain long-standing BLMIS customers as having tacitly understood that no trading occurred and as having supported the scheme with loans during periods of liquidity stress.</w:t>
      </w:r>
    </w:p>
    <w:p>
      <w:pPr>
        <w:pStyle w:val="Heading2"/>
        <w:spacing w:after="120" w:before="240"/>
      </w:pPr>
      <w:r>
        <w:rPr>
          <w:b/>
          <w:bCs/>
        </w:rPr>
        <w:t xml:space="preserve">Victims</w:t>
      </w:r>
    </w:p>
    <w:p>
      <w:pPr>
        <w:spacing w:after="160"/>
      </w:pPr>
      <w:r>
        <w:t xml:space="preserve">The scheme originated as an affinity fraud within Jewish communities and expanded to individual investors, more than one hundred charitable foundations, pension plans, and institutional investors worldwide. Early individual investors who had withdrawn their principal over decades and were living on fictitious profits were left without recourse when the scheme collapsed. Charitable and pension investors were targeted because of their low redemption rates.</w:t>
      </w:r>
    </w:p>
    <w:p>
      <w:pPr>
        <w:pStyle w:val="Heading2"/>
        <w:spacing w:after="120" w:before="240"/>
      </w:pPr>
      <w:r>
        <w:rPr>
          <w:b/>
          <w:bCs/>
        </w:rPr>
        <w:t xml:space="preserve">The Securities Investor Protection Act and the Trustee</w:t>
      </w:r>
    </w:p>
    <w:p>
      <w:pPr>
        <w:spacing w:after="160"/>
      </w:pPr>
      <w:r>
        <w:t xml:space="preserve">The Securities Investor Protection Act of 1970, 15 U.S.C. § 78aaa et seq., established the Securities Investor Protection Corporation (SIPC), a nonprofit membership corporation funded by assessments on registered broker-dealers. Upon notification by the SEC that a member broker-dealer has failed and its customers are in need of protection, SIPC applies to the federal district court for a protective decree and the appointment of a trustee and counsel; the proceeding is then referred to the bankruptcy court. In the BLMIS proceeding, Irving H. Picard was appointed trustee and Baker &amp; Hostetler LLP as counsel in December 2008. The trustee succeeds to the rights and obligations of the debtor, marshals customer property, determines customer claims, and pursues recoveries. Customers hold a priority claim to "customer property," consisting of cash and securities held by the broker on their behalf. SIPC advances up to $500,000 per customer (including up to $250,000 for cash claims) to satisfy allowed net equity claims to the extent customer property is insufficient, and pays the administrative expenses of the liquidation, subject to review by SIPC and approval by the court, so that recoveries are distributed to customers without deduction for administrative costs.</w:t>
      </w:r>
    </w:p>
    <w:p>
      <w:pPr>
        <w:pStyle w:val="Heading2"/>
        <w:spacing w:after="120" w:before="240"/>
      </w:pPr>
      <w:r>
        <w:rPr>
          <w:b/>
          <w:bCs/>
        </w:rPr>
        <w:t xml:space="preserve">Fraudulent Transfer Law and the Ponzi Presumption</w:t>
      </w:r>
    </w:p>
    <w:p>
      <w:pPr>
        <w:spacing w:after="160"/>
      </w:pPr>
      <w:r>
        <w:t xml:space="preserve">SIPA incorporates the avoidance provisions of the Bankruptcy Code, including 11 U.S.C. §§ 544, 547, 548, and 550, and state fraudulent conveyance law, which the guest traces to the Fraudulent Conveyances Act of 1571 (13 Eliz. 1, c. 5). Under the "Ponzi scheme presumption," transfers made in furtherance of a Ponzi scheme are deemed made with actual intent to hinder, delay, or defraud creditors, permitting recovery of fictitious profits from transferees regardless of their knowledge, subject to the good-faith-for-value defense of § 548(c) as to the return of principal. The guest describes approximately 800 "good faith" actions seeking recovery of approximately $4 billion in fictitious profits from investors not alleged to have known of the fraud, and the trustee's hardship program, under which claims against transferees are reduced or released on the basis of age, health, and financial circumstances.</w:t>
      </w:r>
    </w:p>
    <w:p>
      <w:pPr>
        <w:pStyle w:val="Heading2"/>
        <w:spacing w:after="120" w:before="240"/>
      </w:pPr>
      <w:r>
        <w:rPr>
          <w:b/>
          <w:bCs/>
        </w:rPr>
        <w:t xml:space="preserve">Net Equity</w:t>
      </w:r>
    </w:p>
    <w:p>
      <w:pPr>
        <w:spacing w:after="160"/>
      </w:pPr>
      <w:r>
        <w:t xml:space="preserve">SIPA defines a customer's "net equity" as the value of securities positions and cash the broker would have owed the customer on the filing date. Because BLMIS statements reflected securities that were never purchased, the trustee calculated net equity under the "cash-in, cash-out" method: total deposits less total withdrawals over the life of each account. Customers whose withdrawals exceeded deposits ("net winners") had no allowable claim; customers with positive net equity ("net losers") received distributions. In In re Bernard L. Madoff Investment Securities LLC, 654 F.3d 229 (2d Cir. 2011), the Second Circuit approved the method, holding that the trustee could not rely on fictitious statements, and the Supreme Court denied certiorari in 2012. The guest explains that of approximately 16,000 claims filed, about 4,000 related to accounts open at the time of the collapse, divided roughly evenly between net winners and net losers.</w:t>
      </w:r>
    </w:p>
    <w:p>
      <w:pPr>
        <w:pStyle w:val="Heading2"/>
        <w:spacing w:after="120" w:before="240"/>
      </w:pPr>
      <w:r>
        <w:rPr>
          <w:b/>
          <w:bCs/>
        </w:rPr>
        <w:t xml:space="preserve">Avoidance Actions and Lookback Periods</w:t>
      </w:r>
    </w:p>
    <w:p>
      <w:pPr>
        <w:spacing w:after="160"/>
      </w:pPr>
      <w:r>
        <w:t xml:space="preserve">Section 547 of the Bankruptcy Code permits recovery of preferential transfers made within ninety days before filing, or within one year to insiders, a category the guest illustrates with members of the Madoff family. Section 548 permits avoidance of transfers made with actual intent to hinder, delay, or defraud creditors, or for less than reasonably equivalent value while insolvent, within two years before filing. Section 544(b) permits a trustee to assert state-law fraudulent conveyance claims available to an actual creditor, which under New York's Debtor and Creditor Law carried a six-year limitations period. In Picard v. Ida Fishman Revocable Trust (In re Bernard L. Madoff Investment Securities LLC), 773 F.3d 411 (2d Cir. 2014), cert. denied (2015), however, the Second Circuit held that the securities safe harbor of section 546(e) bars the trustee's avoidance claims against BLMIS customers other than actual-fraud claims under section 548(a)(1)(A), confining recovery from customers who did not know of the fraud to the two-year federal period. Courts applying the "Ponzi scheme presumption" treat transfers made in furtherance of a Ponzi scheme as made with actual fraudulent intent.</w:t>
      </w:r>
    </w:p>
    <w:p>
      <w:pPr>
        <w:pStyle w:val="Heading2"/>
        <w:spacing w:after="120" w:before="240"/>
      </w:pPr>
      <w:r>
        <w:rPr>
          <w:b/>
          <w:bCs/>
        </w:rPr>
        <w:t xml:space="preserve">Fictitious Profits and the Good-Faith Defense</w:t>
      </w:r>
    </w:p>
    <w:p>
      <w:pPr>
        <w:spacing w:after="160"/>
      </w:pPr>
      <w:r>
        <w:t xml:space="preserve">Under section 548(c), a transferee who takes for value and in good faith may retain the transfer to the extent of value given. In a Ponzi scheme, repayment of principal is treated as value given, but fictitious profits are not; the trustee therefore sought recovery of profits from all net winners regardless of their knowledge, and recovery of principal only from transferees who lacked good faith. The guest describes the trustee's settlement practice, including verification of financial hardship claims by investigators, and the negotiated resolution with charitable and institutional investors, and explains that to recover principal the trustee must show that a transferee knew no trading was taking place, not that it knew of the Ponzi scheme itself. At the time of the program, the bankruptcy court had held that a transferee lacks good faith only upon a showing of willful blindness or actual knowledge of the fraud; that standard was later displaced, as discussed below.</w:t>
      </w:r>
    </w:p>
    <w:p>
      <w:pPr>
        <w:pStyle w:val="Heading2"/>
        <w:spacing w:after="120" w:before="240"/>
      </w:pPr>
      <w:r>
        <w:rPr>
          <w:b/>
          <w:bCs/>
        </w:rPr>
        <w:t xml:space="preserve">In Pari Delicto and Trustee Standing</w:t>
      </w:r>
    </w:p>
    <w:p>
      <w:pPr>
        <w:spacing w:after="160"/>
      </w:pPr>
      <w:r>
        <w:t xml:space="preserve">Under the Wagoner rule, Shearson Lehman Hutton, Inc. v. Wagoner, 944 F.2d 114 (2d Cir. 1991), and the New York doctrine of in pari delicto as articulated in Kirschner v. KPMG LLP, 15 N.Y.3d 446 (2010), a bankruptcy trustee standing in the shoes of a debtor that participated in wrongdoing lacks standing to assert common-law claims against third parties alleged to have assisted the wrongdoing. In Picard v. JPMorgan Chase &amp; Co., 721 F.3d 54 (2d Cir. 2013), the Second Circuit held that the SIPA trustee's common-law claims against banks for aiding and abetting fraud and unjust enrichment were barred, and rejected the argument that SIPA or the trustee's role as bailee of customer property created an exception. The guest criticizes the doctrine as ill-suited to a trustee who recovers for the benefit of victims rather than the wrongdoer.</w:t>
      </w:r>
    </w:p>
    <w:p>
      <w:pPr>
        <w:pStyle w:val="Heading2"/>
        <w:spacing w:after="120" w:before="240"/>
      </w:pPr>
      <w:r>
        <w:rPr>
          <w:b/>
          <w:bCs/>
        </w:rPr>
        <w:t xml:space="preserve">Red Flags and Due Diligence</w:t>
      </w:r>
    </w:p>
    <w:p>
      <w:pPr>
        <w:spacing w:after="160"/>
      </w:pPr>
      <w:r>
        <w:t xml:space="preserve">The guest identifies indicators that BLMIS's reported returns were not achievable, including the absence of drawdowns over decades, positive returns on days of market collapse, and volatility-adjusted returns (Sharpe ratios) inconsistent with the trading volumes implied by the strategy, and notes that several financial institutions declined to invest with Madoff in the 1990s on this basis. Under the inquiry-notice standard, such facts bear on whether a transferee could establish good faith.</w:t>
      </w:r>
    </w:p>
    <w:p>
      <w:pPr>
        <w:pStyle w:val="Heading2"/>
        <w:spacing w:after="120" w:before="240"/>
      </w:pPr>
      <w:r>
        <w:rPr>
          <w:b/>
          <w:bCs/>
        </w:rPr>
        <w:t xml:space="preserve">Developments to Know</w:t>
      </w:r>
    </w:p>
    <w:p>
      <w:pPr>
        <w:spacing w:after="160"/>
      </w:pPr>
      <w:r>
        <w:t xml:space="preserve">As of late 2025, the SIPA trustee had recovered or reached agreements to recover approximately $14.8 billion of approximately $17.5 billion in net principal losses and had made sixteen pro rata interim distributions to customers with allowed claims, with additional allocations approved in December 2025. The good-faith avoidance actions described in the program have been resolved, and the remaining litigation is concentrated among foreign feeder-fund defendants. Major recoveries include the 2011 settlement with the estate of Jeffry Picower ($7.2 billion, shared with the government), the 2014 deferred prosecution agreement and settlement with JPMorgan Chase, and settlements with the Fairfield Sentry, Kingate, and other feeder-fund liquidators. The Madoff Victim Fund, administered by the Department of Justice from forfeited assets, distributed more than $4 billion to approximately 40,000 victims, including indirect investors through feeder funds, and completed distributions in 2024.</w:t>
      </w:r>
    </w:p>
    <w:p>
      <w:pPr>
        <w:spacing w:after="160"/>
      </w:pPr>
      <w:r>
        <w:t xml:space="preserve">In Picard v. Ida Fishman Revocable Trust, 773 F.3d 411 (2d Cir. 2014), the Second Circuit limited the trustee's recovery from customers who did not know of the fraud to the two-year period of section 548(a)(1)(A). In Picard v. Citibank, N.A., 12 F.4th 171 (2d Cir. 2021), the Second Circuit held that lack of good faith under SIPA is measured by an inquiry-notice standard — whether the transferee had knowledge of suspicious facts that would have led a reasonable person to inquire — rather than willful blindness, and that the trustee is not required to plead the transferee's lack of good faith, reviving claims against Citibank and other subsequent transferees; courts have since applied the Citibank standard to feeder-fund and bank defendants. The net equity method has been upheld, and in pari delicto remains the law of New York under Kirschner.</w:t>
      </w:r>
    </w:p>
    <w:p>
      <w:pPr>
        <w:spacing w:after="160"/>
      </w:pPr>
      <w:r>
        <w:t xml:space="preserve">In United States v. Bonventre et al. (S.D.N.Y. 2014), five former BLMIS employees were convicted at trial of securities fraud and related offenses; Peter Madoff pleaded guilty in 2012 and was sentenced to ten years' imprisonment. Bernard Madoff died in federal custody on April 14, 2021.</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2026-09-24T06:28:42.928Z</dcterms:created>
  <dcterms:modified xsi:type="dcterms:W3CDTF">2026-09-24T06:28:42.928Z</dcterms:modified>
  <dc:title>The Madoff Fraud: Unwinding a Ponzi Empire</dc:title>
</cp:coreProperties>
</file>

<file path=docProps/custom.xml><?xml version="1.0" encoding="utf-8"?>
<Properties xmlns="http://schemas.openxmlformats.org/officeDocument/2006/custom-properties" xmlns:vt="http://schemas.openxmlformats.org/officeDocument/2006/docPropsVTypes"/>
</file>