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jc w:val="center"/>
        <w:rPr/>
      </w:pPr>
      <w:r w:rsidDel="00000000" w:rsidR="00000000" w:rsidRPr="00000000">
        <w:rPr>
          <w:b w:val="1"/>
          <w:bCs w:val="1"/>
          <w:sz w:val="28"/>
          <w:szCs w:val="28"/>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b w:val="1"/>
          <w:bCs w:val="1"/>
          <w:sz w:val="28"/>
          <w:szCs w:val="28"/>
          <w:rtl w:val="0"/>
        </w:rPr>
        <w:t xml:space="preserve">Human Information Privacy: Government Surveillance, Consumer Data, and Digital Power</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b w:val="0"/>
          <w:bCs w:val="0"/>
          <w:sz w:val="21"/>
          <w:szCs w:val="21"/>
          <w:rtl w:val="0"/>
        </w:rPr>
        <w:t xml:space="preserve">Based on a TalksOnLaw interview with Professor Neil Richards</w:t>
      </w:r>
      <w:r w:rsidDel="00000000" w:rsidR="00000000" w:rsidRPr="00000000">
        <w:rPr>
          <w:rtl w:val="0"/>
        </w:rPr>
      </w:r>
    </w:p>
    <w:p w:rsidR="00000000" w:rsidDel="00000000" w:rsidP="00000000" w:rsidRDefault="00000000" w:rsidRPr="00000000" w14:paraId="00000004">
      <w:pPr>
        <w:spacing w:after="80" w:before="0" w:lineRule="auto"/>
        <w:rPr/>
      </w:pPr>
      <w:r w:rsidDel="00000000" w:rsidR="00000000" w:rsidRPr="00000000">
        <w:rPr>
          <w:rtl w:val="0"/>
        </w:rPr>
      </w:r>
    </w:p>
    <w:p w:rsidR="00000000" w:rsidDel="00000000" w:rsidP="00000000" w:rsidRDefault="00000000" w:rsidRPr="00000000" w14:paraId="00000005">
      <w:pPr>
        <w:spacing w:after="80" w:before="0" w:lineRule="auto"/>
        <w:rPr/>
      </w:pPr>
      <w:r w:rsidDel="00000000" w:rsidR="00000000" w:rsidRPr="00000000">
        <w:rPr>
          <w:rtl w:val="0"/>
        </w:rPr>
        <w:t xml:space="preserve">How to Use These Materials These written materials are designed to stand alone as an instructional tool. They track and elaborate on the topics discussed in the interview, provide definitions and practical checklists, and include additional reference material attorneys can use after the course. They are not legal advice. Privacy, data-security, consumer-protection, and constitutional questions are fact-specific and should be evaluated with qualified counsel and other advisors as appropriate.</w:t>
      </w:r>
    </w:p>
    <w:p w:rsidR="00000000" w:rsidDel="00000000" w:rsidP="00000000" w:rsidRDefault="00000000" w:rsidRPr="00000000" w14:paraId="00000006">
      <w:pPr>
        <w:pStyle w:val="Heading1"/>
        <w:spacing w:after="80" w:before="0" w:lineRule="auto"/>
        <w:rPr/>
      </w:pPr>
      <w:r w:rsidDel="00000000" w:rsidR="00000000" w:rsidRPr="00000000">
        <w:rPr>
          <w:rtl w:val="0"/>
        </w:rPr>
        <w:t xml:space="preserve">1. Course Overview and Learning Objectives</w:t>
      </w:r>
    </w:p>
    <w:p w:rsidR="00000000" w:rsidDel="00000000" w:rsidP="00000000" w:rsidRDefault="00000000" w:rsidRPr="00000000" w14:paraId="00000007">
      <w:pPr>
        <w:spacing w:after="80" w:before="0" w:lineRule="auto"/>
        <w:rPr/>
      </w:pPr>
      <w:r w:rsidDel="00000000" w:rsidR="00000000" w:rsidRPr="00000000">
        <w:rPr>
          <w:rtl w:val="0"/>
        </w:rPr>
        <w:t xml:space="preserve">This course examines privacy as a problem of power over human information. Professor Richards uses the phrase “human information policy” to describe the law and policy questions raised when governments and businesses collect, analyze, share, sell, and manipulate information about people. The interview ties together constitutional privacy, consumer protection, behavioral design, surveillance advertising, and reform proposals for modern information relationships.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Define human information policy and explain why information about people confers power.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Understand how Fourth Amendment doctrine has adapted to email, GPS tracking, smartphones, and cell-site location records.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why private-sector privacy is harder to regulate in the United States, where constitutional protections generally constrain government actors rather than private platforms.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Evaluate the limits of notice-and-choice, especially where consent is unwitting, coerced, or unrealistic for minors and busy consumers.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Recognize the privacy-law significance of design choices, dark patterns, addiction-oriented interfaces, and surveillance-based advertising.</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Compare current U.S. consumer-privacy tools with international and state-law models, including GDPR-style rights, CCPA/CPRA rights, and newer data broker deletion mechanisms.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Analyze reform ideas discussed in the interview, including stronger FTC authority, broader unfairness or abusiveness doctrines, restrictions on surveillance advertising, and a duty of loyalty for data collectors.</w:t>
      </w:r>
    </w:p>
    <w:p w:rsidR="00000000" w:rsidDel="00000000" w:rsidP="00000000" w:rsidRDefault="00000000" w:rsidRPr="00000000" w14:paraId="0000000F">
      <w:pPr>
        <w:pStyle w:val="Heading1"/>
        <w:spacing w:after="80" w:before="0" w:lineRule="auto"/>
        <w:rPr/>
      </w:pPr>
      <w:r w:rsidDel="00000000" w:rsidR="00000000" w:rsidRPr="00000000">
        <w:rPr>
          <w:rtl w:val="0"/>
        </w:rPr>
        <w:t xml:space="preserve">2. Human Information Policy: Privacy as a Limit on Power</w:t>
      </w:r>
    </w:p>
    <w:p w:rsidR="00000000" w:rsidDel="00000000" w:rsidP="00000000" w:rsidRDefault="00000000" w:rsidRPr="00000000" w14:paraId="00000010">
      <w:pPr>
        <w:spacing w:after="80" w:before="0" w:lineRule="auto"/>
        <w:rPr/>
      </w:pPr>
      <w:r w:rsidDel="00000000" w:rsidR="00000000" w:rsidRPr="00000000">
        <w:rPr>
          <w:rtl w:val="0"/>
        </w:rPr>
        <w:t xml:space="preserve">Professor Richards begins by explaining that modern institutions run on human information. Search engines, social networks, mobile apps, advertisers, data brokers, employers, governments, and political campaigns all depend on information about what people do, where they go, what they want, who they know, and how they can be influenced. Privacy law is therefore not only about secrecy or embarrassment. It is about limiting the power that follows from information.</w:t>
      </w:r>
    </w:p>
    <w:p w:rsidR="00000000" w:rsidDel="00000000" w:rsidP="00000000" w:rsidRDefault="00000000" w:rsidRPr="00000000" w14:paraId="00000011">
      <w:pPr>
        <w:pStyle w:val="Heading2"/>
        <w:spacing w:after="80" w:before="0" w:lineRule="auto"/>
        <w:rPr/>
      </w:pPr>
      <w:r w:rsidDel="00000000" w:rsidR="00000000" w:rsidRPr="00000000">
        <w:rPr>
          <w:rtl w:val="0"/>
        </w:rPr>
        <w:t xml:space="preserve">2.1 The consequences of information processing</w:t>
      </w:r>
    </w:p>
    <w:p w:rsidR="00000000" w:rsidDel="00000000" w:rsidP="00000000" w:rsidRDefault="00000000" w:rsidRPr="00000000" w14:paraId="00000012">
      <w:pPr>
        <w:spacing w:after="80" w:before="0" w:lineRule="auto"/>
        <w:rPr/>
      </w:pPr>
      <w:r w:rsidDel="00000000" w:rsidR="00000000" w:rsidRPr="00000000">
        <w:rPr>
          <w:rtl w:val="0"/>
        </w:rPr>
        <w:t xml:space="preserve">The interview identifies several consequences that make human information policy urgent: data breaches, hacking, identity exposure, consumer manipulation, political manipulation, and the disclosure of intimate facts. Richards’s broader point is that information about human beings should not be treated as ordinary industrial input. The collection and processing of human information can change what people see, what choices they believe they have, and how institutions exercise control over them.</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Privacy is about collection, use, sharing, retention, inference, and manipulation, not merely secrecy.</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Information confers power because it allows actors to predict, rank, target, exclude, persuade, or exploit people.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legal system built for paper records, physical searches, and face-to-face transactions must be translated into a digital environment.</w:t>
      </w:r>
    </w:p>
    <w:p w:rsidR="00000000" w:rsidDel="00000000" w:rsidP="00000000" w:rsidRDefault="00000000" w:rsidRPr="00000000" w14:paraId="00000016">
      <w:pPr>
        <w:pStyle w:val="Heading2"/>
        <w:spacing w:after="80" w:before="0" w:lineRule="auto"/>
        <w:rPr/>
      </w:pPr>
      <w:r w:rsidDel="00000000" w:rsidR="00000000" w:rsidRPr="00000000">
        <w:rPr>
          <w:rtl w:val="0"/>
        </w:rPr>
        <w:t xml:space="preserve">2.2 Two legal tracks: government and private actors</w:t>
      </w:r>
    </w:p>
    <w:p w:rsidR="00000000" w:rsidDel="00000000" w:rsidP="00000000" w:rsidRDefault="00000000" w:rsidRPr="00000000" w14:paraId="00000017">
      <w:pPr>
        <w:spacing w:after="80" w:before="0" w:lineRule="auto"/>
        <w:rPr/>
      </w:pPr>
      <w:r w:rsidDel="00000000" w:rsidR="00000000" w:rsidRPr="00000000">
        <w:rPr>
          <w:rtl w:val="0"/>
        </w:rPr>
        <w:t xml:space="preserve">The interview separates two major privacy questions. First, how should constitutional protections against government searches apply to digital records? Second, how should consumer-protection and data-protection law govern private companies that collect and monetize personal information? The Constitution supplies important limits on government, but it generally does not provide a comprehensive privacy code for private companies. That is why Richards argues that both constitutional translation and consumer privacy reform are needed.</w:t>
      </w:r>
    </w:p>
    <w:p w:rsidR="00000000" w:rsidDel="00000000" w:rsidP="00000000" w:rsidRDefault="00000000" w:rsidRPr="00000000" w14:paraId="00000018">
      <w:pPr>
        <w:pStyle w:val="Heading1"/>
        <w:spacing w:after="80" w:before="0" w:lineRule="auto"/>
        <w:rPr/>
      </w:pPr>
      <w:r w:rsidDel="00000000" w:rsidR="00000000" w:rsidRPr="00000000">
        <w:rPr>
          <w:rtl w:val="0"/>
        </w:rPr>
        <w:t xml:space="preserve">3. Constitutional Privacy and Digital Searches</w:t>
      </w:r>
    </w:p>
    <w:p w:rsidR="00000000" w:rsidDel="00000000" w:rsidP="00000000" w:rsidRDefault="00000000" w:rsidRPr="00000000" w14:paraId="00000019">
      <w:pPr>
        <w:spacing w:after="80" w:before="0" w:lineRule="auto"/>
        <w:rPr/>
      </w:pPr>
      <w:r w:rsidDel="00000000" w:rsidR="00000000" w:rsidRPr="00000000">
        <w:rPr>
          <w:rtl w:val="0"/>
        </w:rPr>
        <w:t xml:space="preserve">The older written materials identify four cases that structure the interview’s discussion: United States v. Warshak, United States v. Jones, Riley v. California, and Carpenter v. United States. Together, these cases show courts grappling with whether older doctrines can still protect privacy when the relevant information is held by service providers, stored on phones, or generated by ordinary participation in digital life.</w:t>
      </w:r>
    </w:p>
    <w:p w:rsidR="00000000" w:rsidDel="00000000" w:rsidP="00000000" w:rsidRDefault="00000000" w:rsidRPr="00000000" w14:paraId="0000001A">
      <w:pPr>
        <w:pStyle w:val="Heading2"/>
        <w:spacing w:after="80" w:before="0" w:lineRule="auto"/>
        <w:rPr/>
      </w:pPr>
      <w:r w:rsidDel="00000000" w:rsidR="00000000" w:rsidRPr="00000000">
        <w:rPr>
          <w:rtl w:val="0"/>
        </w:rPr>
        <w:t xml:space="preserve">3.1 United States v. Warshak</w:t>
      </w:r>
    </w:p>
    <w:p w:rsidR="00000000" w:rsidDel="00000000" w:rsidP="00000000" w:rsidRDefault="00000000" w:rsidRPr="00000000" w14:paraId="0000001B">
      <w:pPr>
        <w:spacing w:after="80" w:before="0" w:lineRule="auto"/>
        <w:rPr/>
      </w:pPr>
      <w:r w:rsidDel="00000000" w:rsidR="00000000" w:rsidRPr="00000000">
        <w:rPr>
          <w:rtl w:val="0"/>
        </w:rPr>
        <w:t xml:space="preserve">Warshak involved government access to stored email held by an internet service provider. The Sixth Circuit held that people have a reasonable expectation of privacy in the content of their emails and that the government generally must obtain a warrant based on probable cause to compel an ISP to produce those emails. Although Warshak is a court of appeals decision rather than a Supreme Court case, it remains important because it treats email content as the modern equivalent of highly private correspondence.</w:t>
      </w:r>
    </w:p>
    <w:p w:rsidR="00000000" w:rsidDel="00000000" w:rsidP="00000000" w:rsidRDefault="00000000" w:rsidRPr="00000000" w14:paraId="0000001C">
      <w:pPr>
        <w:pStyle w:val="Heading2"/>
        <w:spacing w:after="80" w:before="0" w:lineRule="auto"/>
        <w:rPr/>
      </w:pPr>
      <w:r w:rsidDel="00000000" w:rsidR="00000000" w:rsidRPr="00000000">
        <w:rPr>
          <w:rtl w:val="0"/>
        </w:rPr>
        <w:t xml:space="preserve">3.2 United States v. Jones</w:t>
      </w:r>
    </w:p>
    <w:p w:rsidR="00000000" w:rsidDel="00000000" w:rsidP="00000000" w:rsidRDefault="00000000" w:rsidRPr="00000000" w14:paraId="0000001D">
      <w:pPr>
        <w:spacing w:after="80" w:before="0" w:lineRule="auto"/>
        <w:rPr/>
      </w:pPr>
      <w:r w:rsidDel="00000000" w:rsidR="00000000" w:rsidRPr="00000000">
        <w:rPr>
          <w:rtl w:val="0"/>
        </w:rPr>
        <w:t xml:space="preserve">Jones involved installation of a GPS tracking device on a vehicle. The Supreme Court held that installing the device was a search under the Fourth Amendment. Professor Richards notes that the case rested on physical trespass, but it also opened the door to broader questions about long-term location monitoring. The deeper issue is whether the government may use technology to create a detailed record of a person’s movements without triggering constitutional protection.</w:t>
      </w:r>
    </w:p>
    <w:p w:rsidR="00000000" w:rsidDel="00000000" w:rsidP="00000000" w:rsidRDefault="00000000" w:rsidRPr="00000000" w14:paraId="0000001E">
      <w:pPr>
        <w:pStyle w:val="Heading2"/>
        <w:spacing w:after="80" w:before="0" w:lineRule="auto"/>
        <w:rPr/>
      </w:pPr>
      <w:r w:rsidDel="00000000" w:rsidR="00000000" w:rsidRPr="00000000">
        <w:rPr>
          <w:rtl w:val="0"/>
        </w:rPr>
        <w:t xml:space="preserve">3.3 Riley v. California</w:t>
      </w:r>
    </w:p>
    <w:p w:rsidR="00000000" w:rsidDel="00000000" w:rsidP="00000000" w:rsidRDefault="00000000" w:rsidRPr="00000000" w14:paraId="0000001F">
      <w:pPr>
        <w:spacing w:after="80" w:before="0" w:lineRule="auto"/>
        <w:rPr/>
      </w:pPr>
      <w:r w:rsidDel="00000000" w:rsidR="00000000" w:rsidRPr="00000000">
        <w:rPr>
          <w:rtl w:val="0"/>
        </w:rPr>
        <w:t xml:space="preserve">Riley involved warrantless searches of cell phones seized incident to arrest. The Supreme Court held that police generally may not search a cell phone seized during an arrest without a warrant. The interview emphasizes the Court’s reasoning: a modern smartphone is not simply another item in a pocket. It can contain the privacies of life - photographs, messages, browsing history, location trails, financial information, health data, and access to cloud-based accounts.</w:t>
      </w:r>
    </w:p>
    <w:p w:rsidR="00000000" w:rsidDel="00000000" w:rsidP="00000000" w:rsidRDefault="00000000" w:rsidRPr="00000000" w14:paraId="00000020">
      <w:pPr>
        <w:pStyle w:val="Heading2"/>
        <w:spacing w:after="80" w:before="0" w:lineRule="auto"/>
        <w:rPr/>
      </w:pPr>
      <w:r w:rsidDel="00000000" w:rsidR="00000000" w:rsidRPr="00000000">
        <w:rPr>
          <w:rtl w:val="0"/>
        </w:rPr>
        <w:t xml:space="preserve">3.4 Carpenter v. United States</w:t>
      </w:r>
    </w:p>
    <w:p w:rsidR="00000000" w:rsidDel="00000000" w:rsidP="00000000" w:rsidRDefault="00000000" w:rsidRPr="00000000" w14:paraId="00000021">
      <w:pPr>
        <w:spacing w:after="80" w:before="0" w:lineRule="auto"/>
        <w:rPr/>
      </w:pPr>
      <w:r w:rsidDel="00000000" w:rsidR="00000000" w:rsidRPr="00000000">
        <w:rPr>
          <w:rtl w:val="0"/>
        </w:rPr>
        <w:t xml:space="preserve">Carpenter held that acquisition of historical cell-site location information is a search under the Fourth Amendment and generally requires a warrant. This matters because location data can reveal a detailed portrait of a person’s life. Richards stresses that the ordinary use of a smartphone should not be treated as a waiver of privacy. The Supreme Court itself has recognized that it is not realistic to tell people they can protect privacy simply by declining to use a smartphone.</w:t>
      </w:r>
    </w:p>
    <w:p w:rsidR="00000000" w:rsidDel="00000000" w:rsidP="00000000" w:rsidRDefault="00000000" w:rsidRPr="00000000" w14:paraId="00000022">
      <w:pPr>
        <w:pStyle w:val="Heading2"/>
        <w:spacing w:after="80" w:before="0" w:lineRule="auto"/>
        <w:rPr/>
      </w:pPr>
      <w:r w:rsidDel="00000000" w:rsidR="00000000" w:rsidRPr="00000000">
        <w:rPr>
          <w:rtl w:val="0"/>
        </w:rPr>
        <w:t xml:space="preserve">3.5 Recent digital-speech and data-power cases</w:t>
      </w:r>
    </w:p>
    <w:p w:rsidR="00000000" w:rsidDel="00000000" w:rsidP="00000000" w:rsidRDefault="00000000" w:rsidRPr="00000000" w14:paraId="00000023">
      <w:pPr>
        <w:spacing w:after="80" w:before="0" w:lineRule="auto"/>
        <w:rPr/>
      </w:pPr>
      <w:r w:rsidDel="00000000" w:rsidR="00000000" w:rsidRPr="00000000">
        <w:rPr>
          <w:rtl w:val="0"/>
        </w:rPr>
        <w:t xml:space="preserve">Recent Supreme Court cases reinforce the interview’s point that data collection, speech, and platform governance increasingly overlap. In TikTok, Inc. v. Garland, decided in 2025, the Supreme Court upheld the federal divestiture-or-ban law as applied to TikTok, emphasizing the government’s national-security interest in preventing a foreign adversary from leveraging control over a platform to collect extensive personal data from U.S. users. In Free Speech Coalition v. Paxton, also decided in 2025, the Court upheld Texas’s online age-verification law for certain adult-content websites under intermediate scrutiny. Both cases are useful for privacy lawyers because they show that internet regulation now often sits at the intersection of privacy, identity verification, speech, national security, and platform design.</w:t>
      </w:r>
    </w:p>
    <w:p w:rsidR="00000000" w:rsidDel="00000000" w:rsidP="00000000" w:rsidRDefault="00000000" w:rsidRPr="00000000" w14:paraId="00000024">
      <w:pPr>
        <w:pStyle w:val="Heading1"/>
        <w:spacing w:after="80" w:before="0" w:lineRule="auto"/>
        <w:rPr/>
      </w:pPr>
      <w:r w:rsidDel="00000000" w:rsidR="00000000" w:rsidRPr="00000000">
        <w:rPr>
          <w:rtl w:val="0"/>
        </w:rPr>
        <w:t xml:space="preserve">4. Private-Sector Privacy and the Limits of Notice-and-Choice</w:t>
      </w:r>
    </w:p>
    <w:p w:rsidR="00000000" w:rsidDel="00000000" w:rsidP="00000000" w:rsidRDefault="00000000" w:rsidRPr="00000000" w14:paraId="00000025">
      <w:pPr>
        <w:spacing w:after="80" w:before="0" w:lineRule="auto"/>
        <w:rPr/>
      </w:pPr>
      <w:r w:rsidDel="00000000" w:rsidR="00000000" w:rsidRPr="00000000">
        <w:rPr>
          <w:rtl w:val="0"/>
        </w:rPr>
        <w:t xml:space="preserve">The second half of the interview turns from government surveillance to private-sector data collection. Richards argues that the United States still lacks a comprehensive federal privacy framework and relies heavily on a patchwork of sectoral laws, FTC enforcement, state statutes, and privacy policies. This leaves consumers with legal rights in some contexts, but also with major gaps.</w:t>
      </w:r>
    </w:p>
    <w:p w:rsidR="00000000" w:rsidDel="00000000" w:rsidP="00000000" w:rsidRDefault="00000000" w:rsidRPr="00000000" w14:paraId="00000026">
      <w:pPr>
        <w:pStyle w:val="Heading2"/>
        <w:spacing w:after="80" w:before="0" w:lineRule="auto"/>
        <w:rPr/>
      </w:pPr>
      <w:r w:rsidDel="00000000" w:rsidR="00000000" w:rsidRPr="00000000">
        <w:rPr>
          <w:rtl w:val="0"/>
        </w:rPr>
        <w:t xml:space="preserve">4.1 Why the word “user” matters</w:t>
      </w:r>
    </w:p>
    <w:p w:rsidR="00000000" w:rsidDel="00000000" w:rsidP="00000000" w:rsidRDefault="00000000" w:rsidRPr="00000000" w14:paraId="00000027">
      <w:pPr>
        <w:spacing w:after="80" w:before="0" w:lineRule="auto"/>
        <w:rPr/>
      </w:pPr>
      <w:r w:rsidDel="00000000" w:rsidR="00000000" w:rsidRPr="00000000">
        <w:rPr>
          <w:rtl w:val="0"/>
        </w:rPr>
        <w:t xml:space="preserve">Richards criticizes the technology industry’s habitual use of the word “user.” His point is that legal and social relationships usually carry norms of obligation: guest, passenger, patient, client, customer, tenant, student, employee. The term “user” can distance companies from responsibility because it describes a person functionally rather than relationally. The interview also discusses the common slogan that if the consumer is not paying, the consumer is the product. Richards complicates that phrase by describing many digital platforms as environments where people both create value and surrender data.</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Language matters because it shapes perceived duties.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Calling people “users” can make platforms sound neutral rather than powerful.</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Privacy reform can be understood as an effort to define the obligations that arise when companies invite people into information-sharing relationships.</w:t>
      </w:r>
    </w:p>
    <w:p w:rsidR="00000000" w:rsidDel="00000000" w:rsidP="00000000" w:rsidRDefault="00000000" w:rsidRPr="00000000" w14:paraId="0000002B">
      <w:pPr>
        <w:pStyle w:val="Heading2"/>
        <w:spacing w:after="80" w:before="0" w:lineRule="auto"/>
        <w:rPr/>
      </w:pPr>
      <w:r w:rsidDel="00000000" w:rsidR="00000000" w:rsidRPr="00000000">
        <w:rPr>
          <w:rtl w:val="0"/>
        </w:rPr>
        <w:t xml:space="preserve">4.2 The illusion of choice</w:t>
      </w:r>
    </w:p>
    <w:p w:rsidR="00000000" w:rsidDel="00000000" w:rsidP="00000000" w:rsidRDefault="00000000" w:rsidRPr="00000000" w14:paraId="0000002C">
      <w:pPr>
        <w:spacing w:after="80" w:before="0" w:lineRule="auto"/>
        <w:rPr/>
      </w:pPr>
      <w:r w:rsidDel="00000000" w:rsidR="00000000" w:rsidRPr="00000000">
        <w:rPr>
          <w:rtl w:val="0"/>
        </w:rPr>
        <w:t xml:space="preserve">Much U.S. privacy law has historically been organized around notice and choice: a company posts a privacy policy, consumers are deemed notified, and then consumers must decide whether to use the service, opt out, or exercise rights. The interview argues that this model often fails because the choice is unwitting, coerced, or beyond the consumer’s capacity.</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Unwitting choice: privacy notices are long, inaccessible, ubiquitous, and impossible for most people to read and understand in real time.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Downstream consequences: consumers cannot meaningfully evaluate what will happen after data is shared, combined, inferred from, or sold.</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Coercion: where a platform, search engine, app store, operating system, or internet service is dominant or effectively necessary for modern life, “take it or leave it” is not a real choice.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Minors and capacity: children and teenagers may lack the legal and practical capacity to understand data practices, yet platforms are central to their social lives.</w:t>
      </w:r>
    </w:p>
    <w:p w:rsidR="00000000" w:rsidDel="00000000" w:rsidP="00000000" w:rsidRDefault="00000000" w:rsidRPr="00000000" w14:paraId="00000031">
      <w:pPr>
        <w:pStyle w:val="Heading2"/>
        <w:spacing w:after="80" w:before="0" w:lineRule="auto"/>
        <w:rPr/>
      </w:pPr>
      <w:r w:rsidDel="00000000" w:rsidR="00000000" w:rsidRPr="00000000">
        <w:rPr>
          <w:rtl w:val="0"/>
        </w:rPr>
        <w:t xml:space="preserve">4.3 Cognitive bias and the rational-actor fiction</w:t>
      </w:r>
    </w:p>
    <w:p w:rsidR="00000000" w:rsidDel="00000000" w:rsidP="00000000" w:rsidRDefault="00000000" w:rsidRPr="00000000" w14:paraId="00000032">
      <w:pPr>
        <w:spacing w:after="80" w:before="0" w:lineRule="auto"/>
        <w:rPr/>
      </w:pPr>
      <w:r w:rsidDel="00000000" w:rsidR="00000000" w:rsidRPr="00000000">
        <w:rPr>
          <w:rtl w:val="0"/>
        </w:rPr>
        <w:t xml:space="preserve">Richards criticizes the assumption that consumers are perfectly rational actors with perfect information. Behavioral economics and product design both show otherwise. People are busy, tired, distracted, overloaded, and susceptible to status quo bias, endowment effects, novelty-seeking, fear of missing out, and habituated clicking. Companies know this because they design interfaces to exploit these predictable patterns.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legal regime that treats every click as deliberate consent can validate manipulation rather than autonomy.</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interview’s iPhone-notification example illustrates how design can exploit human attention rather than simply provide information.</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Privacy law should meet consumers where they are, not where a theoretical rational actor is assumed to be.</w:t>
      </w:r>
    </w:p>
    <w:p w:rsidR="00000000" w:rsidDel="00000000" w:rsidP="00000000" w:rsidRDefault="00000000" w:rsidRPr="00000000" w14:paraId="00000036">
      <w:pPr>
        <w:pStyle w:val="Heading1"/>
        <w:spacing w:after="80" w:before="0" w:lineRule="auto"/>
        <w:rPr/>
      </w:pPr>
      <w:r w:rsidDel="00000000" w:rsidR="00000000" w:rsidRPr="00000000">
        <w:rPr>
          <w:rtl w:val="0"/>
        </w:rPr>
        <w:t xml:space="preserve">5. Innovation, First Amendment Claims, and the Politics of Regulation</w:t>
      </w:r>
    </w:p>
    <w:p w:rsidR="00000000" w:rsidDel="00000000" w:rsidP="00000000" w:rsidRDefault="00000000" w:rsidRPr="00000000" w14:paraId="00000037">
      <w:pPr>
        <w:spacing w:after="80" w:before="0" w:lineRule="auto"/>
        <w:rPr/>
      </w:pPr>
      <w:r w:rsidDel="00000000" w:rsidR="00000000" w:rsidRPr="00000000">
        <w:rPr>
          <w:rtl w:val="0"/>
        </w:rPr>
        <w:t xml:space="preserve">A major theme of the interview is the rhetoric of “innovation.” Richards does not reject innovation; he rejects the idea that innovation should be a blanket objection to privacy rules. He argues that the term is often vague, selectively invoked, and increasingly framed as if companies have a right to pursue permissionless data collection.</w:t>
      </w:r>
    </w:p>
    <w:p w:rsidR="00000000" w:rsidDel="00000000" w:rsidP="00000000" w:rsidRDefault="00000000" w:rsidRPr="00000000" w14:paraId="00000038">
      <w:pPr>
        <w:pStyle w:val="Heading2"/>
        <w:spacing w:after="80" w:before="0" w:lineRule="auto"/>
        <w:rPr/>
      </w:pPr>
      <w:r w:rsidDel="00000000" w:rsidR="00000000" w:rsidRPr="00000000">
        <w:rPr>
          <w:rtl w:val="0"/>
        </w:rPr>
        <w:t xml:space="preserve">5.1 Innovation is not self-defining</w:t>
      </w:r>
    </w:p>
    <w:p w:rsidR="00000000" w:rsidDel="00000000" w:rsidP="00000000" w:rsidRDefault="00000000" w:rsidRPr="00000000" w14:paraId="00000039">
      <w:pPr>
        <w:spacing w:after="80" w:before="0" w:lineRule="auto"/>
        <w:rPr/>
      </w:pPr>
      <w:r w:rsidDel="00000000" w:rsidR="00000000" w:rsidRPr="00000000">
        <w:rPr>
          <w:rtl w:val="0"/>
        </w:rPr>
        <w:t xml:space="preserve">The interview asks what innovation actually means. A product can be innovative and harmful at the same time. A business model can produce convenience while also generating privacy, discrimination, addiction, or democratic risks. If regulation forces companies to build useful services without surveillance advertising or manipulative design, that too can spur innovation.</w:t>
      </w:r>
    </w:p>
    <w:p w:rsidR="00000000" w:rsidDel="00000000" w:rsidP="00000000" w:rsidRDefault="00000000" w:rsidRPr="00000000" w14:paraId="0000003A">
      <w:pPr>
        <w:pStyle w:val="Heading2"/>
        <w:spacing w:after="80" w:before="0" w:lineRule="auto"/>
        <w:rPr/>
      </w:pPr>
      <w:r w:rsidDel="00000000" w:rsidR="00000000" w:rsidRPr="00000000">
        <w:rPr>
          <w:rtl w:val="0"/>
        </w:rPr>
        <w:t xml:space="preserve">5.2 First Amendment framing</w:t>
      </w:r>
    </w:p>
    <w:p w:rsidR="00000000" w:rsidDel="00000000" w:rsidP="00000000" w:rsidRDefault="00000000" w:rsidRPr="00000000" w14:paraId="0000003B">
      <w:pPr>
        <w:spacing w:after="80" w:before="0" w:lineRule="auto"/>
        <w:rPr/>
      </w:pPr>
      <w:r w:rsidDel="00000000" w:rsidR="00000000" w:rsidRPr="00000000">
        <w:rPr>
          <w:rtl w:val="0"/>
        </w:rPr>
        <w:t xml:space="preserve">The interview notes that companies increasingly frame restrictions on data collection or processing as restrictions on speech. That argument is important because if data practices are treated as protected expression, privacy regulation could face heightened constitutional scrutiny. The current case law remains context-specific. The TikTok decision shows that the Court may credit data-protection and national-security interests even when platform regulation has speech consequences, while other platform cases continue to test the boundaries between speech, design, data processing, and conduct.</w:t>
      </w:r>
    </w:p>
    <w:p w:rsidR="00000000" w:rsidDel="00000000" w:rsidP="00000000" w:rsidRDefault="00000000" w:rsidRPr="00000000" w14:paraId="0000003C">
      <w:pPr>
        <w:pStyle w:val="Heading1"/>
        <w:spacing w:after="80" w:before="0" w:lineRule="auto"/>
        <w:rPr/>
      </w:pPr>
      <w:r w:rsidDel="00000000" w:rsidR="00000000" w:rsidRPr="00000000">
        <w:rPr>
          <w:rtl w:val="0"/>
        </w:rPr>
        <w:t xml:space="preserve">6. Consumer Protection Tools and Comparative Privacy Models</w:t>
      </w:r>
    </w:p>
    <w:p w:rsidR="00000000" w:rsidDel="00000000" w:rsidP="00000000" w:rsidRDefault="00000000" w:rsidRPr="00000000" w14:paraId="0000003D">
      <w:pPr>
        <w:pStyle w:val="Heading2"/>
        <w:spacing w:after="80" w:before="0" w:lineRule="auto"/>
        <w:rPr/>
      </w:pPr>
      <w:r w:rsidDel="00000000" w:rsidR="00000000" w:rsidRPr="00000000">
        <w:rPr>
          <w:rtl w:val="0"/>
        </w:rPr>
        <w:t xml:space="preserve">6.1 FTC Act Section 5</w:t>
      </w:r>
    </w:p>
    <w:p w:rsidR="00000000" w:rsidDel="00000000" w:rsidP="00000000" w:rsidRDefault="00000000" w:rsidRPr="00000000" w14:paraId="0000003E">
      <w:pPr>
        <w:spacing w:after="80" w:before="0" w:lineRule="auto"/>
        <w:rPr/>
      </w:pPr>
      <w:r w:rsidDel="00000000" w:rsidR="00000000" w:rsidRPr="00000000">
        <w:rPr>
          <w:rtl w:val="0"/>
        </w:rPr>
        <w:t xml:space="preserve">The FTC remains the central federal consumer-protection agency for many privacy and data-security matters. Section 5 of the FTC Act prohibits unfair or deceptive acts or practices. Deception can address misleading privacy promises, false statements about data practices, or marketing that hides the true cost of “free” services. Unfairness can address substantial consumer injuries that are not reasonably avoidable and are not outweighed by benefits to consumers or competition.</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Richards argues that the deception framework should better address the claim that services are “free” when users are paying with attention, data, exposure to advertising, and downstream risk.</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He also argues that unfairness doctrine is often too narrow because the statutory balancing test can allow significant individual harms if aggregate benefits or competition arguments are asserted.</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FTC reports and enforcement actions involving dark patterns, subscription traps, privacy promises, and data-security failures illustrate the continuing importance of Section 5.</w:t>
      </w:r>
    </w:p>
    <w:p w:rsidR="00000000" w:rsidDel="00000000" w:rsidP="00000000" w:rsidRDefault="00000000" w:rsidRPr="00000000" w14:paraId="00000042">
      <w:pPr>
        <w:pStyle w:val="Heading2"/>
        <w:spacing w:after="80" w:before="0" w:lineRule="auto"/>
        <w:rPr/>
      </w:pPr>
      <w:r w:rsidDel="00000000" w:rsidR="00000000" w:rsidRPr="00000000">
        <w:rPr>
          <w:rtl w:val="0"/>
        </w:rPr>
        <w:t xml:space="preserve">6.2 Dark patterns and subscription-trap enforcement</w:t>
      </w:r>
    </w:p>
    <w:p w:rsidR="00000000" w:rsidDel="00000000" w:rsidP="00000000" w:rsidRDefault="00000000" w:rsidRPr="00000000" w14:paraId="00000043">
      <w:pPr>
        <w:spacing w:after="80" w:before="0" w:lineRule="auto"/>
        <w:rPr/>
      </w:pPr>
      <w:r w:rsidDel="00000000" w:rsidR="00000000" w:rsidRPr="00000000">
        <w:rPr>
          <w:rtl w:val="0"/>
        </w:rPr>
        <w:t xml:space="preserve">The interview’s discussion of bait-and-switch and misdirection fits the modern dark-pattern vocabulary. Dark patterns are interface choices that steer, confuse, obstruct, or manipulate people into actions they did not intend, such as sharing more data, agreeing to tracking, staying subscribed, or abandoning privacy choices. The FTC’s 2022 dark-pattern report described growing concerns about designs that trick or trap consumers. In 2025, the Eighth Circuit vacated the FTC’s “click-to-cancel” rule on procedural grounds, but dark-pattern and negative-option enforcement continued through litigation and settlements. The Amazon Prime subscription litigation is a practical example: the FTC alleged that Amazon used manipulative enrollment and cancellation flows, and Amazon later agreed to a $2.5 billion settlement without admitting wrongdoing.</w:t>
      </w:r>
    </w:p>
    <w:p w:rsidR="00000000" w:rsidDel="00000000" w:rsidP="00000000" w:rsidRDefault="00000000" w:rsidRPr="00000000" w14:paraId="00000044">
      <w:pPr>
        <w:pStyle w:val="Heading2"/>
        <w:spacing w:after="80" w:before="0" w:lineRule="auto"/>
        <w:rPr/>
      </w:pPr>
      <w:r w:rsidDel="00000000" w:rsidR="00000000" w:rsidRPr="00000000">
        <w:rPr>
          <w:rtl w:val="0"/>
        </w:rPr>
        <w:t xml:space="preserve">6.3 International privacy models</w:t>
      </w:r>
    </w:p>
    <w:p w:rsidR="00000000" w:rsidDel="00000000" w:rsidP="00000000" w:rsidRDefault="00000000" w:rsidRPr="00000000" w14:paraId="00000045">
      <w:pPr>
        <w:spacing w:after="80" w:before="0" w:lineRule="auto"/>
        <w:rPr/>
      </w:pPr>
      <w:r w:rsidDel="00000000" w:rsidR="00000000" w:rsidRPr="00000000">
        <w:rPr>
          <w:rtl w:val="0"/>
        </w:rPr>
        <w:t xml:space="preserve">The interview compares the U.S. approach with international data-protection regimes. The European Union’s GDPR is the most prominent example: it creates broad data-subject rights and imposes obligations on entities processing personal data. The older materials also identify China’s Personal Information Protection Law, Argentina’s Personal Data Protection Act, Canada’s Personal Information Protection and Electronic Documents Act, and South Korea’s Personal Information Protection Act. Richards treats these examples as evidence that comprehensive privacy law is possible and that the United States is unusual in its continuing reliance on sectoral and state-by-state protections.</w:t>
      </w:r>
    </w:p>
    <w:p w:rsidR="00000000" w:rsidDel="00000000" w:rsidP="00000000" w:rsidRDefault="00000000" w:rsidRPr="00000000" w14:paraId="00000046">
      <w:pPr>
        <w:pStyle w:val="Heading2"/>
        <w:spacing w:after="80" w:before="0" w:lineRule="auto"/>
        <w:rPr/>
      </w:pPr>
      <w:r w:rsidDel="00000000" w:rsidR="00000000" w:rsidRPr="00000000">
        <w:rPr>
          <w:rtl w:val="0"/>
        </w:rPr>
        <w:t xml:space="preserve">6.4 State privacy laws and California’s evolving model</w:t>
      </w:r>
    </w:p>
    <w:p w:rsidR="00000000" w:rsidDel="00000000" w:rsidP="00000000" w:rsidRDefault="00000000" w:rsidRPr="00000000" w14:paraId="00000047">
      <w:pPr>
        <w:spacing w:after="80" w:before="0" w:lineRule="auto"/>
        <w:rPr/>
      </w:pPr>
      <w:r w:rsidDel="00000000" w:rsidR="00000000" w:rsidRPr="00000000">
        <w:rPr>
          <w:rtl w:val="0"/>
        </w:rPr>
        <w:t xml:space="preserve">California’s CCPA and CPRA remain central to U.S. privacy practice. Richards describes the CCPA as important but still largely rooted in consumer control and choice. That critique remains useful: access, deletion, correction, opt-out, and non-discrimination rights matter, but they often require consumers to take action. California has since added a data-broker deletion mechanism through the Delete Request and Opt-out Platform (DROP), which allows eligible California residents to send a deletion and do-not-sell request to registered data brokers through a centralized state platform. At the same time, the state-law landscape has expanded beyond California, making privacy compliance increasingly multistate.</w:t>
      </w:r>
    </w:p>
    <w:p w:rsidR="00000000" w:rsidDel="00000000" w:rsidP="00000000" w:rsidRDefault="00000000" w:rsidRPr="00000000" w14:paraId="00000048">
      <w:pPr>
        <w:pStyle w:val="Heading1"/>
        <w:spacing w:after="80" w:before="0" w:lineRule="auto"/>
        <w:rPr/>
      </w:pPr>
      <w:r w:rsidDel="00000000" w:rsidR="00000000" w:rsidRPr="00000000">
        <w:rPr>
          <w:rtl w:val="0"/>
        </w:rPr>
        <w:t xml:space="preserve">7. Reform Proposals Discussed in the Interview</w:t>
      </w:r>
    </w:p>
    <w:p w:rsidR="00000000" w:rsidDel="00000000" w:rsidP="00000000" w:rsidRDefault="00000000" w:rsidRPr="00000000" w14:paraId="00000049">
      <w:pPr>
        <w:pStyle w:val="Heading2"/>
        <w:spacing w:after="80" w:before="0" w:lineRule="auto"/>
        <w:rPr/>
      </w:pPr>
      <w:r w:rsidDel="00000000" w:rsidR="00000000" w:rsidRPr="00000000">
        <w:rPr>
          <w:rtl w:val="0"/>
        </w:rPr>
        <w:t xml:space="preserve">7.1 Treating “free” as a value transaction</w:t>
      </w:r>
    </w:p>
    <w:p w:rsidR="00000000" w:rsidDel="00000000" w:rsidP="00000000" w:rsidRDefault="00000000" w:rsidRPr="00000000" w14:paraId="0000004A">
      <w:pPr>
        <w:spacing w:after="80" w:before="0" w:lineRule="auto"/>
        <w:rPr/>
      </w:pPr>
      <w:r w:rsidDel="00000000" w:rsidR="00000000" w:rsidRPr="00000000">
        <w:rPr>
          <w:rtl w:val="0"/>
        </w:rPr>
        <w:t xml:space="preserve">Richards argues that calling internet services “free” can be misleading because consumers often pay with data, attention, and exposure to advertising. A platform may receive only a small amount of value from any one person, but aggregated across billions of interactions that value can create enormous fortunes. For lawyers, the important point is that a legal disclosure regime focused only on money price may miss the real exchange.</w:t>
      </w:r>
    </w:p>
    <w:p w:rsidR="00000000" w:rsidDel="00000000" w:rsidP="00000000" w:rsidRDefault="00000000" w:rsidRPr="00000000" w14:paraId="0000004B">
      <w:pPr>
        <w:pStyle w:val="Heading2"/>
        <w:spacing w:after="80" w:before="0" w:lineRule="auto"/>
        <w:rPr/>
      </w:pPr>
      <w:r w:rsidDel="00000000" w:rsidR="00000000" w:rsidRPr="00000000">
        <w:rPr>
          <w:rtl w:val="0"/>
        </w:rPr>
        <w:t xml:space="preserve">7.2 Abusiveness and manipulation</w:t>
      </w:r>
    </w:p>
    <w:p w:rsidR="00000000" w:rsidDel="00000000" w:rsidP="00000000" w:rsidRDefault="00000000" w:rsidRPr="00000000" w14:paraId="0000004C">
      <w:pPr>
        <w:spacing w:after="80" w:before="0" w:lineRule="auto"/>
        <w:rPr/>
      </w:pPr>
      <w:r w:rsidDel="00000000" w:rsidR="00000000" w:rsidRPr="00000000">
        <w:rPr>
          <w:rtl w:val="0"/>
        </w:rPr>
        <w:t xml:space="preserve">The interview suggests that U.S. law should better address abusive design: practices that do not fit neatly into old deception doctrine but exploit cognitive vulnerabilities. Examples include bait-and-switch flows, misdirection, repeated prompts, confusing cancellation pathways, default settings that maximize tracking, notification designs that create compulsive checking, and real-time timers or rewards that manipulate return behavior.</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goal is not a gray, design-free internet. The goal is to distinguish ordinary persuasion and product design from manipulation that undermines autonomy.</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Lawyers advising companies should ask whether design choices help people make informed decisions or exploit predictable weakness.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Regulators and plaintiffs increasingly examine the entire user journey, not only isolated screens or policy text.</w:t>
      </w:r>
    </w:p>
    <w:p w:rsidR="00000000" w:rsidDel="00000000" w:rsidP="00000000" w:rsidRDefault="00000000" w:rsidRPr="00000000" w14:paraId="00000050">
      <w:pPr>
        <w:pStyle w:val="Heading2"/>
        <w:spacing w:after="80" w:before="0" w:lineRule="auto"/>
        <w:rPr/>
      </w:pPr>
      <w:r w:rsidDel="00000000" w:rsidR="00000000" w:rsidRPr="00000000">
        <w:rPr>
          <w:rtl w:val="0"/>
        </w:rPr>
        <w:t xml:space="preserve">7.3 Surveillance advertising versus contextual advertising</w:t>
      </w:r>
    </w:p>
    <w:p w:rsidR="00000000" w:rsidDel="00000000" w:rsidP="00000000" w:rsidRDefault="00000000" w:rsidRPr="00000000" w14:paraId="00000051">
      <w:pPr>
        <w:spacing w:after="80" w:before="0" w:lineRule="auto"/>
        <w:rPr/>
      </w:pPr>
      <w:r w:rsidDel="00000000" w:rsidR="00000000" w:rsidRPr="00000000">
        <w:rPr>
          <w:rtl w:val="0"/>
        </w:rPr>
        <w:t xml:space="preserve">Richards challenges the assumption that online services require surveillance-based advertising. He distinguishes surveillance advertising, which follows people across digital and physical contexts to build targeting profiles, from contextual advertising, which serves ads based on the content the person is currently viewing. The interview argues that contextual advertising can fund services without requiring pervasive tracking. The reform question is whether the marginal benefit of behavioral targeting justifies the privacy, manipulation, discrimination, and democratic risks associated with surveillance advertising.</w:t>
      </w:r>
    </w:p>
    <w:p w:rsidR="00000000" w:rsidDel="00000000" w:rsidP="00000000" w:rsidRDefault="00000000" w:rsidRPr="00000000" w14:paraId="00000052">
      <w:pPr>
        <w:pStyle w:val="Heading2"/>
        <w:spacing w:after="80" w:before="0" w:lineRule="auto"/>
        <w:rPr/>
      </w:pPr>
      <w:r w:rsidDel="00000000" w:rsidR="00000000" w:rsidRPr="00000000">
        <w:rPr>
          <w:rtl w:val="0"/>
        </w:rPr>
        <w:t xml:space="preserve">7.4 Duty of loyalty</w:t>
      </w:r>
    </w:p>
    <w:p w:rsidR="00000000" w:rsidDel="00000000" w:rsidP="00000000" w:rsidRDefault="00000000" w:rsidRPr="00000000" w14:paraId="00000053">
      <w:pPr>
        <w:spacing w:after="80" w:before="0" w:lineRule="auto"/>
        <w:rPr/>
      </w:pPr>
      <w:r w:rsidDel="00000000" w:rsidR="00000000" w:rsidRPr="00000000">
        <w:rPr>
          <w:rtl w:val="0"/>
        </w:rPr>
        <w:t xml:space="preserve">The interview ends with a duty-of-loyalty proposal. Richards suggests that companies in information relationships should be required to act in the best interests of the human customer with respect to that person’s data, especially where trust is invited, power is unequal, the company controls data flows, and the consumer has exposed vulnerabilities. This does not prohibit all personalization. It asks whether personalization serves the person or the company’s real client, such as an advertiser paying for influence.</w:t>
      </w:r>
    </w:p>
    <w:p w:rsidR="00000000" w:rsidDel="00000000" w:rsidP="00000000" w:rsidRDefault="00000000" w:rsidRPr="00000000" w14:paraId="00000054">
      <w:pPr>
        <w:pStyle w:val="Heading1"/>
        <w:spacing w:after="80" w:before="0" w:lineRule="auto"/>
        <w:rPr/>
      </w:pPr>
      <w:r w:rsidDel="00000000" w:rsidR="00000000" w:rsidRPr="00000000">
        <w:rPr>
          <w:rtl w:val="0"/>
        </w:rPr>
        <w:t xml:space="preserve">8. Practical Checklists</w:t>
      </w:r>
    </w:p>
    <w:p w:rsidR="00000000" w:rsidDel="00000000" w:rsidP="00000000" w:rsidRDefault="00000000" w:rsidRPr="00000000" w14:paraId="00000055">
      <w:pPr>
        <w:pStyle w:val="Heading2"/>
        <w:spacing w:after="80" w:before="0" w:lineRule="auto"/>
        <w:rPr/>
      </w:pPr>
      <w:r w:rsidDel="00000000" w:rsidR="00000000" w:rsidRPr="00000000">
        <w:rPr>
          <w:rtl w:val="0"/>
        </w:rPr>
        <w:t xml:space="preserve">8.1 Government-access checklist</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whether the information sought is content, metadata, location information, device data, or stored third-party data.</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Analyze whether a warrant, subpoena, court order, consent, exigency, or another exception is being asserted.</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Consider whether Carpenter, Riley, Jones, Warshak, or analogous state constitutional protections apply.</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Evaluate whether a person’s use of ordinary technology should be treated as consent or as participation in modern life.</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Preserve objections to overbreadth, particularity, retention, minimization, and downstream use.</w:t>
      </w:r>
    </w:p>
    <w:p w:rsidR="00000000" w:rsidDel="00000000" w:rsidP="00000000" w:rsidRDefault="00000000" w:rsidRPr="00000000" w14:paraId="0000005B">
      <w:pPr>
        <w:pStyle w:val="Heading2"/>
        <w:spacing w:after="80" w:before="0" w:lineRule="auto"/>
        <w:rPr/>
      </w:pPr>
      <w:r w:rsidDel="00000000" w:rsidR="00000000" w:rsidRPr="00000000">
        <w:rPr>
          <w:rtl w:val="0"/>
        </w:rPr>
        <w:t xml:space="preserve">8.2 Consumer-privacy counseling checklist</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Map what data is collected, inferred, retained, sold, shared, or used for targeting.</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Ask whether privacy notices are understandable, accurate, and consistent with actual engineering and business practices.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Assess whether opt-outs and privacy choices are realistic or buried in friction, defaults, misdirection, or dark patterns.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applicable regimes: FTC Act, sectoral federal laws, state comprehensive privacy laws, data broker laws, children’s privacy laws, biometric laws, wiretap and tracking statutes, and international regimes.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Review whether the company’s use of the terms “free,” “choice,” “personalization,” or “innovation” may obscure the real transaction.</w:t>
      </w:r>
    </w:p>
    <w:p w:rsidR="00000000" w:rsidDel="00000000" w:rsidP="00000000" w:rsidRDefault="00000000" w:rsidRPr="00000000" w14:paraId="00000061">
      <w:pPr>
        <w:pStyle w:val="Heading2"/>
        <w:spacing w:after="80" w:before="0" w:lineRule="auto"/>
        <w:rPr/>
      </w:pPr>
      <w:r w:rsidDel="00000000" w:rsidR="00000000" w:rsidRPr="00000000">
        <w:rPr>
          <w:rtl w:val="0"/>
        </w:rPr>
        <w:t xml:space="preserve">8.3 Design-review checklist</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Does the interface help users make an informed decision or steer them toward the company’s preferred outcome?</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Are accept and reject paths equally visible, easy, and understandable where law or policy requires meaningful choice?</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Does the design exploit status quo bias, sunk costs, scarcity, repeated prompts, color hierarchy, shame language, or default settings?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Would the company be comfortable explaining the design to a regulator, court, journalist, or customer?</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Does personalization advance the user’s interests, or does it primarily make the user more targetable or manipulable?</w:t>
      </w:r>
    </w:p>
    <w:p w:rsidR="00000000" w:rsidDel="00000000" w:rsidP="00000000" w:rsidRDefault="00000000" w:rsidRPr="00000000" w14:paraId="00000067">
      <w:pPr>
        <w:pStyle w:val="Heading1"/>
        <w:spacing w:after="80" w:before="0" w:lineRule="auto"/>
        <w:rPr/>
      </w:pPr>
      <w:r w:rsidDel="00000000" w:rsidR="00000000" w:rsidRPr="00000000">
        <w:rPr>
          <w:rtl w:val="0"/>
        </w:rPr>
        <w:t xml:space="preserve">9. Resources</w:t>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Neil Richards, Why Privacy Matters (Oxford University Press 2021).</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United States v. Warshak, 631 F.3d 266 (6th Cir. 2010): https://law.justia.com/cases/federal/appellate-courts/ca6/08-3997/10a0377p-06-2011-02-25.html</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United States v. Jones, 565 U.S. 400 (2012): https://supreme.justia.com/cases/federal/us/565/400/</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Riley v. California, 573 U.S. 373 (2014): https://supreme.justia.com/cases/federal/us/573/373/</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Carpenter v. United States, 138 S. Ct. 2206 (2018): https://supreme.justia.com/cases/federal/us/585/16-402/</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TikTok, Inc. v. Garland, 604 U.S. 56 (2025): https://www.supremecourt.gov/opinions/24pdf/604us1r07_k536.pdf</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Free Speech Coalition, Inc. v. Paxton, No. 23-1122 (U.S. June 27, 2025): https://www.supremecourt.gov/opinions/24pdf/23-1122_3e04.pdf</w:t>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FTC Act Section 5, 15 U.S.C. § 45: https://www.law.cornell.edu/uscode/text/15/45</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FTC, Bringing Dark Patterns to Light (Sept. 2022): https://www.ftc.gov/reports/bringing-dark-patterns-light</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FTC v. Amazon.com, Inc. settlement reporting and case materials: https://www.ftc.gov/</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General Data Protection Regulation (EU) 2016/679: https://eur-lex.europa.eu/eli/reg/2016/679/oj</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California Consumer Privacy Act / California Privacy Rights Act information: https://oag.ca.gov/privacy/ccpa</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California Delete Request and Opt-out Platform (DROP): https://privacy.ca.gov/drop/</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IAPP, U.S. State Privacy Legislation Tracker: https://iapp.org/resources/article/us-state-privacy-legislation-tracker</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China Personal Information Protection Law (2021): https://www.pipc.go.jp/files/pdf/pipl_english.pdf</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Canada Personal Information Protection and Electronic Documents Act: https://laws-lois.justice.gc.ca/eng/acts/P-8.6/</w:t>
      </w:r>
    </w:p>
    <w:p w:rsidR="00000000" w:rsidDel="00000000" w:rsidP="00000000" w:rsidRDefault="00000000" w:rsidRPr="00000000" w14:paraId="00000078">
      <w:pPr>
        <w:pStyle w:val="Heading1"/>
        <w:spacing w:after="80" w:before="0" w:lineRule="auto"/>
        <w:rPr/>
      </w:pPr>
      <w:r w:rsidDel="00000000" w:rsidR="00000000" w:rsidRPr="00000000">
        <w:rPr>
          <w:rtl w:val="0"/>
        </w:rPr>
        <w:t xml:space="preserve">10. Key Takeaways</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Privacy law is best understood as a set of limits on information power.</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Digital Fourth Amendment cases show courts adapting older search doctrines to email, phones, GPS, and location data.</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private-sector challenge is different: consumers face platforms, data brokers, advertisers, and interface designers that can shape choice before the consumer realizes a choice exists.</w:t>
      </w:r>
    </w:p>
    <w:p w:rsidR="00000000" w:rsidDel="00000000" w:rsidP="00000000" w:rsidRDefault="00000000" w:rsidRPr="00000000" w14:paraId="000000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Notice-and-choice is often insufficient because people are not perfectly rational, informed, or free to exit dominant services.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most important reforms discussed in the interview shift attention from consent paperwork to substantive duties: no manipulation, no deceptive “free” framing, limits on surveillance advertising, and a duty of loyalty in information relationships.</w:t>
      </w:r>
    </w:p>
    <w:sectPr>
      <w:pgSz w:h="15840" w:w="12240" w:orient="portrait"/>
      <w:pgMar w:bottom="1224" w:top="1224" w:left="1224" w:right="12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6"/>
      <w:szCs w:val="26"/>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KyKXbuxtZvaU8l3U40z5Tj+xQ==">CgMxLjA4AHIhMWY1YTBycWplVE5wRS1VSjc3QmJ5N0RYZzFRdTZiWnhf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