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80"/>
      </w:pPr>
      <w:r>
        <w:rPr>
          <w:rFonts w:ascii="Montserrat" w:cs="Montserrat" w:eastAsia="Montserrat" w:hAnsi="Montserrat"/>
          <w:b/>
          <w:bCs/>
          <w:sz w:val="36"/>
          <w:szCs w:val="36"/>
        </w:rPr>
        <w:t xml:space="preserve">John Quinn on Trials</w:t>
      </w:r>
    </w:p>
    <w:p>
      <w:pPr>
        <w:spacing w:after="200"/>
      </w:pPr>
      <w:r>
        <w:rPr>
          <w:rFonts w:ascii="Montserrat" w:cs="Montserrat" w:eastAsia="Montserrat" w:hAnsi="Montserrat"/>
          <w:b/>
          <w:bCs/>
          <w:color w:val="E87722"/>
          <w:sz w:val="24"/>
          <w:szCs w:val="24"/>
        </w:rPr>
        <w:t xml:space="preserve">John B. Quinn</w:t>
      </w:r>
    </w:p>
    <w:p>
      <w:pPr>
        <w:pBdr>
          <w:bottom w:val="single" w:color="E87722" w:sz="6"/>
        </w:pBdr>
        <w:spacing w:after="300"/>
      </w:pPr>
    </w:p>
    <w:p>
      <w:pPr>
        <w:pStyle w:val="Heading2"/>
        <w:spacing w:after="120" w:before="240"/>
      </w:pPr>
      <w:r>
        <w:rPr>
          <w:b/>
          <w:bCs/>
        </w:rPr>
        <w:t xml:space="preserve">Overview</w:t>
      </w:r>
    </w:p>
    <w:p>
      <w:pPr>
        <w:spacing w:after="160"/>
      </w:pPr>
      <w:r>
        <w:t xml:space="preserve">This program presents practical trial and litigation strategy from the perspective of an experienced business trial lawyer. It covers early case assessment, sequencing and conduct of depositions, retention of experts and use of focus groups, witness preparation, electronic discovery, cross-examination, opening statements and order of proof, closing arguments, and settlement. It pairs each practical point with the governing procedural, evidentiary, and ethical rules, and summarizes developments since 2018.</w:t>
      </w:r>
    </w:p>
    <w:p>
      <w:pPr>
        <w:pStyle w:val="Heading2"/>
        <w:spacing w:after="120" w:before="240"/>
      </w:pPr>
      <w:r>
        <w:rPr>
          <w:b/>
          <w:bCs/>
        </w:rPr>
        <w:t xml:space="preserve">Learning Objectives</w:t>
      </w:r>
    </w:p>
    <w:p>
      <w:pPr>
        <w:pStyle w:val="ListParagraph"/>
        <w:numPr>
          <w:ilvl w:val="0"/>
          <w:numId w:val="1"/>
        </w:numPr>
        <w:spacing w:after="80"/>
      </w:pPr>
      <w:r>
        <w:t xml:space="preserve">Develop a case theory from the outset and use it to guide discovery.</w:t>
      </w:r>
    </w:p>
    <w:p>
      <w:pPr>
        <w:pStyle w:val="ListParagraph"/>
        <w:numPr>
          <w:ilvl w:val="0"/>
          <w:numId w:val="1"/>
        </w:numPr>
        <w:spacing w:after="80"/>
      </w:pPr>
      <w:r>
        <w:t xml:space="preserve">Plan depositions strategically within the Federal Rules of Civil Procedure.</w:t>
      </w:r>
    </w:p>
    <w:p>
      <w:pPr>
        <w:pStyle w:val="ListParagraph"/>
        <w:numPr>
          <w:ilvl w:val="0"/>
          <w:numId w:val="1"/>
        </w:numPr>
        <w:spacing w:after="80"/>
      </w:pPr>
      <w:r>
        <w:t xml:space="preserve">Prepare witnesses effectively while complying with ethical limits.</w:t>
      </w:r>
    </w:p>
    <w:p>
      <w:pPr>
        <w:pStyle w:val="ListParagraph"/>
        <w:numPr>
          <w:ilvl w:val="0"/>
          <w:numId w:val="1"/>
        </w:numPr>
        <w:spacing w:after="80"/>
      </w:pPr>
      <w:r>
        <w:t xml:space="preserve">Apply principles of effective cross-examination, opening statement, and closing argument.</w:t>
      </w:r>
    </w:p>
    <w:p>
      <w:pPr>
        <w:pStyle w:val="ListParagraph"/>
        <w:numPr>
          <w:ilvl w:val="0"/>
          <w:numId w:val="1"/>
        </w:numPr>
        <w:spacing w:after="80"/>
      </w:pPr>
      <w:r>
        <w:t xml:space="preserve">Identify ethical constraints on discovery conduct, witness contact, and trial advocacy.</w:t>
      </w:r>
    </w:p>
    <w:p>
      <w:pPr>
        <w:pStyle w:val="Heading2"/>
        <w:spacing w:after="120" w:before="240"/>
      </w:pPr>
      <w:r>
        <w:rPr>
          <w:b/>
          <w:bCs/>
        </w:rPr>
        <w:t xml:space="preserve">Early Case Assessment</w:t>
      </w:r>
    </w:p>
    <w:p>
      <w:pPr>
        <w:spacing w:after="160"/>
      </w:pPr>
      <w:r>
        <w:t xml:space="preserve">Identify the "high ground": the most defensible version of your case and the elements the opponent must prove. Revisit it as the evidence develops. Early steps include issuing litigation holds and collecting the client's key documents and custodians, interviewing client witnesses, identifying and approaching third-party witnesses, and retaining consulting experts. The duty to preserve arises when litigation is reasonably anticipated. See</w:t>
      </w:r>
      <w:r>
        <w:rPr>
          <w:i/>
          <w:iCs/>
        </w:rPr>
        <w:t xml:space="preserve">Zubulake v. UBS Warburg LLC</w:t>
      </w:r>
      <w:r>
        <w:t xml:space="preserve">, 220 F.R.D. 212 (S.D.N.Y. 2003); Fed. R. Civ. P. 37(e) (remedies for failure to preserve ESI).</w:t>
      </w:r>
    </w:p>
    <w:p>
      <w:pPr>
        <w:spacing w:after="160"/>
      </w:pPr>
      <w:r>
        <w:rPr>
          <w:b/>
          <w:bCs/>
        </w:rPr>
        <w:t xml:space="preserve">Contacting witnesses.</w:t>
      </w:r>
      <w:r>
        <w:t xml:space="preserve">Lawyers may not communicate about the matter with a person known to be represented without consent of counsel, Model Rule 4.2, and must not mislead unrepresented persons about the lawyer's role, Rule 4.3. A lawyer may not ask a non-client to refrain from voluntarily giving information to another party, except for the client's relatives, employees, or agents under limited conditions. Rule 3.4(f).</w:t>
      </w:r>
    </w:p>
    <w:p>
      <w:pPr>
        <w:pStyle w:val="Heading2"/>
        <w:spacing w:after="120" w:before="240"/>
      </w:pPr>
      <w:r>
        <w:rPr>
          <w:b/>
          <w:bCs/>
        </w:rPr>
        <w:t xml:space="preserve">Depositions</w:t>
      </w:r>
    </w:p>
    <w:p>
      <w:pPr>
        <w:pStyle w:val="ListParagraph"/>
        <w:numPr>
          <w:ilvl w:val="0"/>
          <w:numId w:val="1"/>
        </w:numPr>
        <w:spacing w:after="80"/>
      </w:pPr>
      <w:r>
        <w:rPr>
          <w:b/>
          <w:bCs/>
        </w:rPr>
        <w:t xml:space="preserve">Timing.</w:t>
      </w:r>
      <w:r>
        <w:t xml:space="preserve">Parties generally may not seek discovery before the Rule 26(f) conference absent stipulation or order. Fed. R. Civ. P. 26(d)(1). After that, there is no fixed order, and depositions may precede document production. Rule 26(d)(3). Leave is required to depose a witness a second time. Rule 30(a)(2)(A)(ii).</w:t>
      </w:r>
    </w:p>
    <w:p>
      <w:pPr>
        <w:pStyle w:val="ListParagraph"/>
        <w:numPr>
          <w:ilvl w:val="0"/>
          <w:numId w:val="1"/>
        </w:numPr>
        <w:spacing w:after="80"/>
      </w:pPr>
      <w:r>
        <w:rPr>
          <w:b/>
          <w:bCs/>
        </w:rPr>
        <w:t xml:space="preserve">Limits.</w:t>
      </w:r>
      <w:r>
        <w:t xml:space="preserve">Ten depositions per side and one day of seven hours per deposition, absent stipulation or order. Rules 30(a)(2)(A)(i), 30(d)(1).</w:t>
      </w:r>
    </w:p>
    <w:p>
      <w:pPr>
        <w:pStyle w:val="ListParagraph"/>
        <w:numPr>
          <w:ilvl w:val="0"/>
          <w:numId w:val="1"/>
        </w:numPr>
        <w:spacing w:after="80"/>
      </w:pPr>
      <w:r>
        <w:rPr>
          <w:b/>
          <w:bCs/>
        </w:rPr>
        <w:t xml:space="preserve">Objections and instructions.</w:t>
      </w:r>
      <w:r>
        <w:t xml:space="preserve">Objections must be stated concisely and in a non-argumentative, non-suggestive manner. Instructions not to answer are limited to privilege, enforcing a court order, or presenting a Rule 30(d)(3) motion. Rule 30(c)(2).</w:t>
      </w:r>
    </w:p>
    <w:p>
      <w:pPr>
        <w:pStyle w:val="ListParagraph"/>
        <w:numPr>
          <w:ilvl w:val="0"/>
          <w:numId w:val="1"/>
        </w:numPr>
        <w:spacing w:after="80"/>
      </w:pPr>
      <w:r>
        <w:rPr>
          <w:b/>
          <w:bCs/>
        </w:rPr>
        <w:t xml:space="preserve">Conferring during depositions.</w:t>
      </w:r>
      <w:r>
        <w:t xml:space="preserve">Courts differ. Some prohibit private conferences between a deponent and counsel while a deposition is in progress, including during breaks, except to discuss privilege. See</w:t>
      </w:r>
      <w:r>
        <w:rPr>
          <w:i/>
          <w:iCs/>
        </w:rPr>
        <w:t xml:space="preserve">Hall v. Clifton Precision</w:t>
      </w:r>
      <w:r>
        <w:t xml:space="preserve">, 150 F.R.D. 525 (E.D. Pa. 1993). Others are more permissive. Counsel should check local rules and standing orders. A break should never be requested while a question is pending.</w:t>
      </w:r>
    </w:p>
    <w:p>
      <w:pPr>
        <w:pStyle w:val="ListParagraph"/>
        <w:numPr>
          <w:ilvl w:val="0"/>
          <w:numId w:val="1"/>
        </w:numPr>
        <w:spacing w:after="80"/>
      </w:pPr>
      <w:r>
        <w:rPr>
          <w:b/>
          <w:bCs/>
        </w:rPr>
        <w:t xml:space="preserve">Organizational depositions.</w:t>
      </w:r>
      <w:r>
        <w:t xml:space="preserve">Rule 30(b)(6), as amended in 2020, requires the parties to confer in good faith about the matters for examination.</w:t>
      </w:r>
    </w:p>
    <w:p>
      <w:pPr>
        <w:pStyle w:val="Heading2"/>
        <w:spacing w:after="120" w:before="240"/>
      </w:pPr>
      <w:r>
        <w:rPr>
          <w:b/>
          <w:bCs/>
        </w:rPr>
        <w:t xml:space="preserve">Witness Preparation</w:t>
      </w:r>
    </w:p>
    <w:p>
      <w:pPr>
        <w:spacing w:after="160"/>
      </w:pPr>
      <w:r>
        <w:t xml:space="preserve">Lawyers may prepare witnesses by explaining the process, reviewing documents, discussing likely questions, and rehearsing, but may not counsel or assist a witness to testify falsely. Model Rules 3.3(a)(3), 3.4(b); Restatement (Third) of the Law Governing Lawyers § 116. Key guidance for witnesses: listen to the whole question; answer only that question; agree with a leading question only if every part is accurate; give qualified answers when warranted; do not guess; and do not react to the examiner's demeanor.</w:t>
      </w:r>
    </w:p>
    <w:p>
      <w:pPr>
        <w:pStyle w:val="Heading2"/>
        <w:spacing w:after="120" w:before="240"/>
      </w:pPr>
      <w:r>
        <w:rPr>
          <w:b/>
          <w:bCs/>
        </w:rPr>
        <w:t xml:space="preserve">Experts, Focus Groups, and Jury Research</w:t>
      </w:r>
    </w:p>
    <w:p>
      <w:pPr>
        <w:spacing w:after="160"/>
      </w:pPr>
      <w:r>
        <w:t xml:space="preserve">Consulting experts help frame discovery and themes, and their facts and opinions are generally protected from discovery unless they will testify. Fed. R. Civ. P. 26(b)(4)(D). Drafts of testifying experts' reports and most attorney-expert communications are protected. Rule 26(b)(4)(B)–(C). Admissibility of expert testimony is governed by Fed. R. Evid. 702 and</w:t>
      </w:r>
      <w:r>
        <w:rPr>
          <w:i/>
          <w:iCs/>
        </w:rPr>
        <w:t xml:space="preserve">Daubert v. Merrell Dow Pharmaceuticals, Inc.</w:t>
      </w:r>
      <w:r>
        <w:t xml:space="preserve">, 509 U.S. 579 (1993). Focus groups and mock juries test themes and reveal how non-lawyers process evidence. Work product protection may apply to their results. Fed. R. Civ. P. 26(b)(3).</w:t>
      </w:r>
    </w:p>
    <w:p>
      <w:pPr>
        <w:pStyle w:val="Heading2"/>
        <w:spacing w:after="120" w:before="240"/>
      </w:pPr>
      <w:r>
        <w:rPr>
          <w:b/>
          <w:bCs/>
        </w:rPr>
        <w:t xml:space="preserve">Discovery and Electronic Information</w:t>
      </w:r>
    </w:p>
    <w:p>
      <w:pPr>
        <w:spacing w:after="160"/>
      </w:pPr>
      <w:r>
        <w:t xml:space="preserve">Discovery must be proportional to the needs of the case. Fed. R. Civ. P. 26(b)(1) (as amended 2015). Using discovery for an improper purpose, such as to harass or to cause unnecessary delay or needless expense, is sanctionable. Rule 26(g); see also Model Rule 3.4(d). Modern ESI practice involves negotiated custodians and search terms, and courts have approved technology-assisted review.</w:t>
      </w:r>
      <w:r>
        <w:rPr>
          <w:i/>
          <w:iCs/>
        </w:rPr>
        <w:t xml:space="preserve">Da Silva Moore v. Publicis Groupe</w:t>
      </w:r>
      <w:r>
        <w:t xml:space="preserve">, 287 F.R.D. 182 (S.D.N.Y. 2012). The Sedona Principles provide widely cited guidance on cooperation and proportionality.</w:t>
      </w:r>
    </w:p>
    <w:p>
      <w:pPr>
        <w:pStyle w:val="Heading2"/>
        <w:spacing w:after="120" w:before="240"/>
      </w:pPr>
      <w:r>
        <w:rPr>
          <w:b/>
          <w:bCs/>
        </w:rPr>
        <w:t xml:space="preserve">Trial Advocacy</w:t>
      </w:r>
    </w:p>
    <w:p>
      <w:pPr>
        <w:pStyle w:val="ListParagraph"/>
        <w:numPr>
          <w:ilvl w:val="0"/>
          <w:numId w:val="1"/>
        </w:numPr>
        <w:spacing w:after="80"/>
      </w:pPr>
      <w:r>
        <w:rPr>
          <w:b/>
          <w:bCs/>
        </w:rPr>
        <w:t xml:space="preserve">Opening statement.</w:t>
      </w:r>
      <w:r>
        <w:t xml:space="preserve">Preview only what you can prove. Unfulfilled promises damage credibility, and in criminal cases they can support ineffective-assistance claims.</w:t>
      </w:r>
    </w:p>
    <w:p>
      <w:pPr>
        <w:pStyle w:val="ListParagraph"/>
        <w:numPr>
          <w:ilvl w:val="0"/>
          <w:numId w:val="1"/>
        </w:numPr>
        <w:spacing w:after="80"/>
      </w:pPr>
      <w:r>
        <w:rPr>
          <w:b/>
          <w:bCs/>
        </w:rPr>
        <w:t xml:space="preserve">Order of proof.</w:t>
      </w:r>
      <w:r>
        <w:t xml:space="preserve">A plaintiff should lead with a witness who establishes the story and offers little for cross. The defense should begin undermining credibility early, including by answering the opening with strong documentary evidence.</w:t>
      </w:r>
    </w:p>
    <w:p>
      <w:pPr>
        <w:pStyle w:val="ListParagraph"/>
        <w:numPr>
          <w:ilvl w:val="0"/>
          <w:numId w:val="1"/>
        </w:numPr>
        <w:spacing w:after="80"/>
      </w:pPr>
      <w:r>
        <w:rPr>
          <w:b/>
          <w:bCs/>
        </w:rPr>
        <w:t xml:space="preserve">Cross-examination.</w:t>
      </w:r>
      <w:r>
        <w:t xml:space="preserve">Use leading questions, control the witness, avoid needless hostility until the jury turns on the witness, and consider "no questions" when cross would accomplish nothing. Fed. R. Evid. 611(b)–(c).</w:t>
      </w:r>
    </w:p>
    <w:p>
      <w:pPr>
        <w:pStyle w:val="ListParagraph"/>
        <w:numPr>
          <w:ilvl w:val="0"/>
          <w:numId w:val="1"/>
        </w:numPr>
        <w:spacing w:after="80"/>
      </w:pPr>
      <w:r>
        <w:rPr>
          <w:b/>
          <w:bCs/>
        </w:rPr>
        <w:t xml:space="preserve">Complex cases.</w:t>
      </w:r>
      <w:r>
        <w:t xml:space="preserve">Reduce technical issues to clear, favorable themes and use demonstratives. Fed. R. Evid. 107 (2024) now addresses illustrative aids.</w:t>
      </w:r>
    </w:p>
    <w:p>
      <w:pPr>
        <w:pStyle w:val="ListParagraph"/>
        <w:numPr>
          <w:ilvl w:val="0"/>
          <w:numId w:val="1"/>
        </w:numPr>
        <w:spacing w:after="80"/>
      </w:pPr>
      <w:r>
        <w:rPr>
          <w:b/>
          <w:bCs/>
        </w:rPr>
        <w:t xml:space="preserve">Closing argument.</w:t>
      </w:r>
      <w:r>
        <w:t xml:space="preserve">Equip favorable jurors with the evidence and instructions they will need in deliberations. Counsel may not assert personal knowledge of facts or state a personal opinion about the justness of a cause or the credibility of a witness. Model Rule 3.4(e).</w:t>
      </w:r>
    </w:p>
    <w:p>
      <w:pPr>
        <w:pStyle w:val="ListParagraph"/>
        <w:numPr>
          <w:ilvl w:val="0"/>
          <w:numId w:val="1"/>
        </w:numPr>
        <w:spacing w:after="80"/>
      </w:pPr>
      <w:r>
        <w:rPr>
          <w:b/>
          <w:bCs/>
        </w:rPr>
        <w:t xml:space="preserve">Damages.</w:t>
      </w:r>
      <w:r>
        <w:t xml:space="preserve">Defense counsel can contest damages without conceding liability, for example by framing an inflated demand as undermining the plaintiff's overall credibility.</w:t>
      </w:r>
    </w:p>
    <w:p>
      <w:pPr>
        <w:pStyle w:val="Heading2"/>
        <w:spacing w:after="120" w:before="240"/>
      </w:pPr>
      <w:r>
        <w:rPr>
          <w:b/>
          <w:bCs/>
        </w:rPr>
        <w:t xml:space="preserve">Settlement</w:t>
      </w:r>
    </w:p>
    <w:p>
      <w:pPr>
        <w:spacing w:after="160"/>
      </w:pPr>
      <w:r>
        <w:t xml:space="preserve">Signal early that settlement discussions will not be treated as weakness. Compromise offers and statements made in compromise negotiations are generally inadmissible to prove liability or amount. Fed. R. Evid. 408. Offers of judgment can shift costs. Fed. R. Civ. P. 68. Lawyers must promptly convey settlement offers to clients, Model Rule 1.4, and the decision to settle belongs to the client. Rule 1.2(a).</w:t>
      </w:r>
    </w:p>
    <w:p>
      <w:pPr>
        <w:pStyle w:val="Heading2"/>
        <w:spacing w:after="120" w:before="240"/>
      </w:pPr>
      <w:r>
        <w:rPr>
          <w:b/>
          <w:bCs/>
        </w:rPr>
        <w:t xml:space="preserve">Developments to Know</w:t>
      </w:r>
    </w:p>
    <w:p>
      <w:pPr>
        <w:pStyle w:val="ListParagraph"/>
        <w:numPr>
          <w:ilvl w:val="0"/>
          <w:numId w:val="1"/>
        </w:numPr>
        <w:spacing w:after="80"/>
      </w:pPr>
      <w:r>
        <w:rPr>
          <w:b/>
          <w:bCs/>
        </w:rPr>
        <w:t xml:space="preserve">Fed. R. Evid. 702 (amended Dec. 1, 2023).</w:t>
      </w:r>
      <w:r>
        <w:t xml:space="preserve">The proponent must demonstrate to the court that it is more likely than not that expert testimony meets each admissibility requirement, and the expert's opinion must reflect a reliable application of methods to the facts.</w:t>
      </w:r>
    </w:p>
    <w:p>
      <w:pPr>
        <w:pStyle w:val="ListParagraph"/>
        <w:numPr>
          <w:ilvl w:val="0"/>
          <w:numId w:val="1"/>
        </w:numPr>
        <w:spacing w:after="80"/>
      </w:pPr>
      <w:r>
        <w:rPr>
          <w:b/>
          <w:bCs/>
        </w:rPr>
        <w:t xml:space="preserve">Fed. R. Evid. 107 (effective Dec. 1, 2024).</w:t>
      </w:r>
      <w:r>
        <w:t xml:space="preserve">This new rule governs the use of illustrative aids at trial.</w:t>
      </w:r>
    </w:p>
    <w:p>
      <w:pPr>
        <w:pStyle w:val="ListParagraph"/>
        <w:numPr>
          <w:ilvl w:val="0"/>
          <w:numId w:val="1"/>
        </w:numPr>
        <w:spacing w:after="80"/>
      </w:pPr>
      <w:r>
        <w:rPr>
          <w:b/>
          <w:bCs/>
        </w:rPr>
        <w:t xml:space="preserve">Remote depositions.</w:t>
      </w:r>
      <w:r>
        <w:t xml:space="preserve">Remote depositions by stipulation or order under Fed. R. Civ. P. 30(b)(4) became routine after 2020, raising issues about exhibit handling, off-record communications, and witness coaching.</w:t>
      </w:r>
    </w:p>
    <w:p>
      <w:pPr>
        <w:pStyle w:val="ListParagraph"/>
        <w:numPr>
          <w:ilvl w:val="0"/>
          <w:numId w:val="1"/>
        </w:numPr>
        <w:spacing w:after="80"/>
      </w:pPr>
      <w:r>
        <w:rPr>
          <w:b/>
          <w:bCs/>
        </w:rPr>
        <w:t xml:space="preserve">Generative AI.</w:t>
      </w:r>
      <w:r>
        <w:t xml:space="preserve">Courts have sanctioned lawyers for submitting filings with fabricated citations generated by AI tools, see</w:t>
      </w:r>
      <w:r>
        <w:rPr>
          <w:i/>
          <w:iCs/>
        </w:rPr>
        <w:t xml:space="preserve">Mata v. Avianca, Inc.</w:t>
      </w:r>
      <w:r>
        <w:t xml:space="preserve">, 678 F. Supp. 3d 443 (S.D.N.Y. 2023), and many judges have issued standing orders on AI use. ABA Formal Opinion 512 (2024) addresses competence, confidentiality, and supervision obligations when using generative AI.</w:t>
      </w:r>
    </w:p>
    <w:p>
      <w:pPr>
        <w:pStyle w:val="ListParagraph"/>
        <w:numPr>
          <w:ilvl w:val="0"/>
          <w:numId w:val="1"/>
        </w:numPr>
        <w:spacing w:after="80"/>
      </w:pPr>
      <w:r>
        <w:rPr>
          <w:b/>
          <w:bCs/>
        </w:rPr>
        <w:t xml:space="preserve">Fed. R. Evid. 801(d)(1)(A) (effective Dec. 1, 2026, absent congressional action).</w:t>
      </w:r>
      <w:r>
        <w:t xml:space="preserve">A testifying witness's prior inconsistent statements will be admissible as substantive evidence whether or not they were made under oath, including texts, emails, and interview statements.</w:t>
      </w:r>
    </w:p>
    <w:p>
      <w:pPr>
        <w:pStyle w:val="ListParagraph"/>
        <w:numPr>
          <w:ilvl w:val="0"/>
          <w:numId w:val="1"/>
        </w:numPr>
        <w:spacing w:after="80"/>
      </w:pPr>
      <w:r>
        <w:rPr>
          <w:b/>
          <w:bCs/>
        </w:rPr>
        <w:t xml:space="preserve">Civil rules amendments (Dec. 1, 2025).</w:t>
      </w:r>
      <w:r>
        <w:t xml:space="preserve">New Rule 16.1 addresses management of multidistrict litigation, and amendments to Rules 16(b) and 26(f) direct parties to address the method for complying with privilege-log obligations early in the case.</w:t>
      </w:r>
    </w:p>
    <w:p>
      <w:pPr>
        <w:pStyle w:val="ListParagraph"/>
        <w:numPr>
          <w:ilvl w:val="0"/>
          <w:numId w:val="1"/>
        </w:numPr>
        <w:spacing w:after="80"/>
      </w:pPr>
      <w:r>
        <w:rPr>
          <w:b/>
          <w:bCs/>
        </w:rPr>
        <w:t xml:space="preserve">AI-generated evidence.</w:t>
      </w:r>
      <w:r>
        <w:t xml:space="preserve">A proposed Rule 707 on machine-generated evidence was published for comment in 2025; in 2026 the Advisory Committee kept it under further study rather than advancing it.</w:t>
      </w:r>
    </w:p>
    <w:p>
      <w:pPr>
        <w:pStyle w:val="ListParagraph"/>
        <w:numPr>
          <w:ilvl w:val="0"/>
          <w:numId w:val="1"/>
        </w:numPr>
        <w:spacing w:after="80"/>
      </w:pPr>
      <w:r>
        <w:rPr>
          <w:b/>
          <w:bCs/>
        </w:rPr>
        <w:t xml:space="preserve">The vanishing trial.</w:t>
      </w:r>
      <w:r>
        <w:t xml:space="preserve">A very small percentage of federal civil cases reach trial, increasing the importance of early case assessment, dispositive motions, and settlement strategy.</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Open Sans" w:cs="Open Sans" w:eastAsia="Open Sans" w:hAnsi="Open Sans"/>
        <w:color w:val="999999"/>
        <w:sz w:val="16"/>
        <w:szCs w:val="16"/>
      </w:rPr>
      <w:t xml:space="preserve">Page </w:t>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Montserrat" w:cs="Montserrat" w:eastAsia="Montserrat" w:hAnsi="Montserrat"/>
        <w:color w:val="999999"/>
        <w:sz w:val="16"/>
        <w:szCs w:val="16"/>
      </w:rPr>
      <w:t xml:space="preserve">TalksOnLaw — Written Materials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Open Sans" w:cs="Open Sans" w:eastAsia="Open Sans" w:hAnsi="Open Sans"/>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240"/>
    </w:pPr>
    <w:rPr>
      <w:rFonts w:ascii="Montserrat" w:cs="Montserrat" w:eastAsia="Montserrat" w:hAnsi="Montserrat"/>
      <w:b/>
      <w:bCs/>
      <w:sz w:val="36"/>
      <w:szCs w:val="36"/>
    </w:rPr>
  </w:style>
  <w:style w:type="paragraph" w:styleId="Heading2">
    <w:name w:val="Heading 2"/>
    <w:basedOn w:val="Normal"/>
    <w:next w:val="Normal"/>
    <w:qFormat/>
    <w:pPr>
      <w:spacing w:after="120" w:before="200"/>
    </w:pPr>
    <w:rPr>
      <w:rFonts w:ascii="Montserrat" w:cs="Montserrat" w:eastAsia="Montserrat" w:hAnsi="Montserrat"/>
      <w:b/>
      <w:bCs/>
      <w:sz w:val="30"/>
      <w:szCs w:val="30"/>
    </w:rPr>
  </w:style>
  <w:style w:type="paragraph" w:styleId="Heading3">
    <w:name w:val="Heading 3"/>
    <w:basedOn w:val="Normal"/>
    <w:next w:val="Normal"/>
    <w:qFormat/>
    <w:pPr>
      <w:spacing w:after="100" w:before="160"/>
    </w:pPr>
    <w:rPr>
      <w:rFonts w:ascii="Montserrat" w:cs="Montserrat" w:eastAsia="Montserrat" w:hAnsi="Montserrat"/>
      <w:b/>
      <w:bCs/>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2026-09-28T18:13:12.978Z</dcterms:created>
  <dcterms:modified xsi:type="dcterms:W3CDTF">2026-09-28T18:13:12.978Z</dcterms:modified>
</cp:coreProperties>
</file>

<file path=docProps/custom.xml><?xml version="1.0" encoding="utf-8"?>
<Properties xmlns="http://schemas.openxmlformats.org/officeDocument/2006/custom-properties" xmlns:vt="http://schemas.openxmlformats.org/officeDocument/2006/docPropsVTypes"/>
</file>