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Interpreting Emoji</w:t>
      </w:r>
    </w:p>
    <w:p>
      <w:pPr>
        <w:spacing w:after="200"/>
      </w:pPr>
      <w:r>
        <w:rPr>
          <w:rFonts w:ascii="Montserrat" w:cs="Montserrat" w:eastAsia="Montserrat" w:hAnsi="Montserrat"/>
          <w:b/>
          <w:bCs/>
          <w:color w:val="E87722"/>
          <w:sz w:val="24"/>
          <w:szCs w:val="24"/>
        </w:rPr>
        <w:t xml:space="preserve">Prof. Eric Goldman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issues raised by emoji and emoticons in electronic communications. It covers how emoji are standardized and rendered, intellectual property questions about who owns emoji depictions, interpretive challenges when emoji appear in contracts, threats, and other communications, evidentiary issues of authentication and presentation, and trends in how courts have treated emoji since 2018.</w:t>
      </w:r>
    </w:p>
    <w:p>
      <w:pPr>
        <w:pStyle w:val="Heading2"/>
        <w:spacing w:after="120" w:before="240"/>
      </w:pPr>
      <w:r>
        <w:rPr>
          <w:b/>
          <w:bCs/>
        </w:rPr>
        <w:t xml:space="preserve">Learning Objectives</w:t>
      </w:r>
    </w:p>
    <w:p>
      <w:pPr>
        <w:pStyle w:val="ListParagraph"/>
        <w:numPr>
          <w:ilvl w:val="0"/>
          <w:numId w:val="1"/>
        </w:numPr>
        <w:spacing w:after="80"/>
      </w:pPr>
      <w:r>
        <w:t xml:space="preserve">Distinguish emoji from emoticons and explain how Unicode standardization and platform rendering work.</w:t>
      </w:r>
    </w:p>
    <w:p>
      <w:pPr>
        <w:pStyle w:val="ListParagraph"/>
        <w:numPr>
          <w:ilvl w:val="0"/>
          <w:numId w:val="1"/>
        </w:numPr>
        <w:spacing w:after="80"/>
      </w:pPr>
      <w:r>
        <w:t xml:space="preserve">Identify copyright and trademark issues concerning emoji designs.</w:t>
      </w:r>
    </w:p>
    <w:p>
      <w:pPr>
        <w:pStyle w:val="ListParagraph"/>
        <w:numPr>
          <w:ilvl w:val="0"/>
          <w:numId w:val="1"/>
        </w:numPr>
        <w:spacing w:after="80"/>
      </w:pPr>
      <w:r>
        <w:t xml:space="preserve">Apply subjective-intent and reasonable-person interpretive standards to communications containing emoji.</w:t>
      </w:r>
    </w:p>
    <w:p>
      <w:pPr>
        <w:pStyle w:val="ListParagraph"/>
        <w:numPr>
          <w:ilvl w:val="0"/>
          <w:numId w:val="1"/>
        </w:numPr>
        <w:spacing w:after="80"/>
      </w:pPr>
      <w:r>
        <w:t xml:space="preserve">Address authentication, completeness, and presentation of emoji evidence at trial.</w:t>
      </w:r>
    </w:p>
    <w:p>
      <w:pPr>
        <w:pStyle w:val="ListParagraph"/>
        <w:numPr>
          <w:ilvl w:val="0"/>
          <w:numId w:val="1"/>
        </w:numPr>
        <w:spacing w:after="80"/>
      </w:pPr>
      <w:r>
        <w:t xml:space="preserve">Summarize significant recent decisions interpreting emoji.</w:t>
      </w:r>
    </w:p>
    <w:p>
      <w:pPr>
        <w:pStyle w:val="Heading2"/>
        <w:spacing w:after="120" w:before="240"/>
      </w:pPr>
      <w:r>
        <w:rPr>
          <w:b/>
          <w:bCs/>
        </w:rPr>
        <w:t xml:space="preserve">How Emoji Work</w:t>
      </w:r>
    </w:p>
    <w:p>
      <w:pPr>
        <w:spacing w:after="160"/>
      </w:pPr>
      <w:r>
        <w:t xml:space="preserve">The Unicode Consortium assigns code points to emoji and publishes reference glyphs and short names (for example, U+1F602, "face with tears of joy"). Each platform (Apple, Google, Microsoft, Samsung, Meta, and others) renders the code point with its own artwork. The same message can therefore display differently on the sender's and recipient's devices, and an emoji unsupported on the recipient's platform may appear as a blank box or a different symbol. Emoticons are composed of standard keyboard characters and display consistently. Emoji can function as word substitutes, as complements that add tone, or as punctuation and emphasis.</w:t>
      </w:r>
    </w:p>
    <w:p>
      <w:pPr>
        <w:pStyle w:val="Heading2"/>
        <w:spacing w:after="120" w:before="240"/>
      </w:pPr>
      <w:r>
        <w:rPr>
          <w:b/>
          <w:bCs/>
        </w:rPr>
        <w:t xml:space="preserve">Intellectual Property</w:t>
      </w:r>
    </w:p>
    <w:p>
      <w:pPr>
        <w:pStyle w:val="ListParagraph"/>
        <w:numPr>
          <w:ilvl w:val="0"/>
          <w:numId w:val="1"/>
        </w:numPr>
        <w:spacing w:after="80"/>
      </w:pPr>
      <w:r>
        <w:rPr>
          <w:b/>
          <w:bCs/>
        </w:rPr>
        <w:t xml:space="preserve">Copyright.</w:t>
      </w:r>
      <w:r>
        <w:t xml:space="preserve">Original pictorial works are copyrightable, 17 U.S.C. § 102(a)(5), but protection for simple, standardized designs may be thin, and the merger and scènes à faire doctrines limit protection for expression dictated by function or convention. Typeface designs are not copyrightable, 37 C.F.R. § 202.1(e), although font software may be. Platforms, notably Apple, have registered copyrights in individual emoji designs.</w:t>
      </w:r>
    </w:p>
    <w:p>
      <w:pPr>
        <w:pStyle w:val="ListParagraph"/>
        <w:numPr>
          <w:ilvl w:val="0"/>
          <w:numId w:val="1"/>
        </w:numPr>
        <w:spacing w:after="80"/>
      </w:pPr>
      <w:r>
        <w:rPr>
          <w:b/>
          <w:bCs/>
        </w:rPr>
        <w:t xml:space="preserve">Ownership of reference images.</w:t>
      </w:r>
      <w:r>
        <w:t xml:space="preserve">Unicode's reference glyphs are often supplied by contributors, and their copyright status is not uniform.</w:t>
      </w:r>
    </w:p>
    <w:p>
      <w:pPr>
        <w:pStyle w:val="ListParagraph"/>
        <w:numPr>
          <w:ilvl w:val="0"/>
          <w:numId w:val="1"/>
        </w:numPr>
        <w:spacing w:after="80"/>
      </w:pPr>
      <w:r>
        <w:rPr>
          <w:b/>
          <w:bCs/>
        </w:rPr>
        <w:t xml:space="preserve">Trademark.</w:t>
      </w:r>
      <w:r>
        <w:t xml:space="preserve">Registrations for the word "emoji" and for emoji-styled goods have generated enforcement disputes over merchandise.</w:t>
      </w:r>
    </w:p>
    <w:p>
      <w:pPr>
        <w:pStyle w:val="ListParagraph"/>
        <w:numPr>
          <w:ilvl w:val="0"/>
          <w:numId w:val="1"/>
        </w:numPr>
        <w:spacing w:after="80"/>
      </w:pPr>
      <w:r>
        <w:rPr>
          <w:b/>
          <w:bCs/>
        </w:rPr>
        <w:t xml:space="preserve">Policy concern.</w:t>
      </w:r>
      <w:r>
        <w:t xml:space="preserve">Aggressive ownership claims may push platforms to make their depictions deliberately different, increasing cross-platform miscommunication. Open-source emoji sets offer an alternative.</w:t>
      </w:r>
    </w:p>
    <w:p>
      <w:pPr>
        <w:pStyle w:val="Heading2"/>
        <w:spacing w:after="120" w:before="240"/>
      </w:pPr>
      <w:r>
        <w:rPr>
          <w:b/>
          <w:bCs/>
        </w:rPr>
        <w:t xml:space="preserve">Interpreting Emoji</w:t>
      </w:r>
    </w:p>
    <w:p>
      <w:pPr>
        <w:pStyle w:val="ListParagraph"/>
        <w:numPr>
          <w:ilvl w:val="0"/>
          <w:numId w:val="1"/>
        </w:numPr>
        <w:spacing w:after="80"/>
      </w:pPr>
      <w:r>
        <w:rPr>
          <w:b/>
          <w:bCs/>
        </w:rPr>
        <w:t xml:space="preserve">Contract formation.</w:t>
      </w:r>
      <w:r>
        <w:t xml:space="preserve">Under an objective theory of contract, the question is how a reasonable person in the recipient's position would understand the communication. See Restatement (Second) of Contracts §§ 19, 20. Emoji can signal assent, enthusiasm, or sarcasm.</w:t>
      </w:r>
    </w:p>
    <w:p>
      <w:pPr>
        <w:pStyle w:val="ListParagraph"/>
        <w:numPr>
          <w:ilvl w:val="0"/>
          <w:numId w:val="1"/>
        </w:numPr>
        <w:spacing w:after="80"/>
      </w:pPr>
      <w:r>
        <w:rPr>
          <w:b/>
          <w:bCs/>
        </w:rPr>
        <w:t xml:space="preserve">Threats.</w:t>
      </w:r>
      <w:r>
        <w:t xml:space="preserve">Under</w:t>
      </w:r>
      <w:r>
        <w:rPr>
          <w:i/>
          <w:iCs/>
        </w:rPr>
        <w:t xml:space="preserve">Counterman v. Colorado</w:t>
      </w:r>
      <w:r>
        <w:t xml:space="preserve">, 600 U.S. 66 (2023), the First Amendment requires proof that the speaker at least recklessly disregarded a substantial risk that the communication would be viewed as threatening violence. See also</w:t>
      </w:r>
      <w:r>
        <w:rPr>
          <w:i/>
          <w:iCs/>
        </w:rPr>
        <w:t xml:space="preserve">Elonis v. United States</w:t>
      </w:r>
      <w:r>
        <w:t xml:space="preserve">, 575 U.S. 723 (2015) (negligence insufficient under 18 U.S.C. § 875(c)). A speaker's use of emoji can bear on both meaning and mental state.</w:t>
      </w:r>
    </w:p>
    <w:p>
      <w:pPr>
        <w:pStyle w:val="ListParagraph"/>
        <w:numPr>
          <w:ilvl w:val="0"/>
          <w:numId w:val="1"/>
        </w:numPr>
        <w:spacing w:after="80"/>
      </w:pPr>
      <w:r>
        <w:rPr>
          <w:b/>
          <w:bCs/>
        </w:rPr>
        <w:t xml:space="preserve">Harassment, discrimination, and defamation.</w:t>
      </w:r>
      <w:r>
        <w:t xml:space="preserve">Emoji can contribute to hostile work environment claims, and can change whether a statement is reasonably understood as fact, opinion, or jest.</w:t>
      </w:r>
    </w:p>
    <w:p>
      <w:pPr>
        <w:pStyle w:val="ListParagraph"/>
        <w:numPr>
          <w:ilvl w:val="0"/>
          <w:numId w:val="1"/>
        </w:numPr>
        <w:spacing w:after="80"/>
      </w:pPr>
      <w:r>
        <w:rPr>
          <w:b/>
          <w:bCs/>
        </w:rPr>
        <w:t xml:space="preserve">Emoji "grammar."</w:t>
      </w:r>
      <w:r>
        <w:t xml:space="preserve">No settled conventions govern strings of emoji. Meaning may depend on the community, the platform, and prior communications between the parties, so expert or lay testimony about usage may be relevant, much as it is for slang or coded language.</w:t>
      </w:r>
    </w:p>
    <w:p>
      <w:pPr>
        <w:pStyle w:val="Heading2"/>
        <w:spacing w:after="120" w:before="240"/>
      </w:pPr>
      <w:r>
        <w:rPr>
          <w:b/>
          <w:bCs/>
        </w:rPr>
        <w:t xml:space="preserve">Evidence</w:t>
      </w:r>
    </w:p>
    <w:p>
      <w:pPr>
        <w:pStyle w:val="ListParagraph"/>
        <w:numPr>
          <w:ilvl w:val="0"/>
          <w:numId w:val="1"/>
        </w:numPr>
        <w:spacing w:after="80"/>
      </w:pPr>
      <w:r>
        <w:rPr>
          <w:b/>
          <w:bCs/>
        </w:rPr>
        <w:t xml:space="preserve">Authentication.</w:t>
      </w:r>
      <w:r>
        <w:t xml:space="preserve">Proponents must show the message is what they claim, Fed. R. Evid. 901, including who sent it and, where relevant, how it appeared to the sender and the recipient.</w:t>
      </w:r>
    </w:p>
    <w:p>
      <w:pPr>
        <w:pStyle w:val="ListParagraph"/>
        <w:numPr>
          <w:ilvl w:val="0"/>
          <w:numId w:val="1"/>
        </w:numPr>
        <w:spacing w:after="80"/>
      </w:pPr>
      <w:r>
        <w:rPr>
          <w:b/>
          <w:bCs/>
        </w:rPr>
        <w:t xml:space="preserve">Completeness and presentation.</w:t>
      </w:r>
      <w:r>
        <w:t xml:space="preserve">Emoji are part of the statement. In</w:t>
      </w:r>
      <w:r>
        <w:rPr>
          <w:i/>
          <w:iCs/>
        </w:rPr>
        <w:t xml:space="preserve">United States v. Ulbricht</w:t>
      </w:r>
      <w:r>
        <w:t xml:space="preserve">, No. 14-cr-68 (S.D.N.Y. 2015), the court directed that emoji and emoticons in messages be conveyed to the jury. Presenting images, rather than oral descriptions, reduces the risk of mischaracterization. See Fed. R. Evid. 106 (rule of completeness), 1001–1002 (writings and originals).</w:t>
      </w:r>
    </w:p>
    <w:p>
      <w:pPr>
        <w:pStyle w:val="ListParagraph"/>
        <w:numPr>
          <w:ilvl w:val="0"/>
          <w:numId w:val="1"/>
        </w:numPr>
        <w:spacing w:after="80"/>
      </w:pPr>
      <w:r>
        <w:rPr>
          <w:b/>
          <w:bCs/>
        </w:rPr>
        <w:t xml:space="preserve">Cross-platform rendering.</w:t>
      </w:r>
      <w:r>
        <w:t xml:space="preserve">Counsel should obtain device-level evidence of how the emoji appeared on each party's platform and software version.</w:t>
      </w:r>
    </w:p>
    <w:p>
      <w:pPr>
        <w:pStyle w:val="ListParagraph"/>
        <w:numPr>
          <w:ilvl w:val="0"/>
          <w:numId w:val="1"/>
        </w:numPr>
        <w:spacing w:after="80"/>
      </w:pPr>
      <w:r>
        <w:rPr>
          <w:b/>
          <w:bCs/>
        </w:rPr>
        <w:t xml:space="preserve">Opinions.</w:t>
      </w:r>
      <w:r>
        <w:t xml:space="preserve">Courts often describe emoji in words. Reproducing the image improves accuracy and transparency.</w:t>
      </w:r>
    </w:p>
    <w:p>
      <w:pPr>
        <w:pStyle w:val="Heading2"/>
        <w:spacing w:after="120" w:before="240"/>
      </w:pPr>
      <w:r>
        <w:rPr>
          <w:b/>
          <w:bCs/>
        </w:rPr>
        <w:t xml:space="preserve">Developments to Know</w:t>
      </w:r>
    </w:p>
    <w:p>
      <w:pPr>
        <w:pStyle w:val="ListParagraph"/>
        <w:numPr>
          <w:ilvl w:val="0"/>
          <w:numId w:val="1"/>
        </w:numPr>
        <w:spacing w:after="80"/>
      </w:pPr>
      <w:r>
        <w:rPr>
          <w:b/>
          <w:bCs/>
        </w:rPr>
        <w:t xml:space="preserve">Growth in cases.</w:t>
      </w:r>
      <w:r>
        <w:t xml:space="preserve">References to emoji and emoticons in U.S. opinions grew rapidly after 2018, passing 1,000 in total by the end of 2023 (225 in 2023 alone), across criminal, employment, family, contract, and securities matters. See Eric Goldman,</w:t>
      </w:r>
      <w:r>
        <w:rPr>
          <w:i/>
          <w:iCs/>
        </w:rPr>
        <w:t xml:space="preserve">Emojis and the Law</w:t>
      </w:r>
      <w:r>
        <w:t xml:space="preserve">, 93 Wash. L. Rev. 1227 (2018).</w:t>
      </w:r>
    </w:p>
    <w:p>
      <w:pPr>
        <w:pStyle w:val="ListParagraph"/>
        <w:numPr>
          <w:ilvl w:val="0"/>
          <w:numId w:val="1"/>
        </w:numPr>
        <w:spacing w:after="80"/>
      </w:pPr>
      <w:r>
        <w:rPr>
          <w:b/>
          <w:bCs/>
        </w:rPr>
        <w:t xml:space="preserve">Thumbs-up as acceptance.</w:t>
      </w:r>
      <w:r>
        <w:rPr>
          <w:i/>
          <w:iCs/>
        </w:rPr>
        <w:t xml:space="preserve">South West Terminal Ltd. v. Achter Land &amp; Cattle Ltd.</w:t>
      </w:r>
      <w:r>
        <w:t xml:space="preserve">, 2023 SKKB 116 (Sask. K.B.), held that a thumbs-up emoji reply to a photographed contract was acceptance, and the Saskatchewan Court of Appeal affirmed 2–1.</w:t>
      </w:r>
      <w:r>
        <w:rPr>
          <w:i/>
          <w:iCs/>
        </w:rPr>
        <w:t xml:space="preserve">Achter Land &amp; Cattle Ltd. v. South West Terminal Ltd.</w:t>
      </w:r>
      <w:r>
        <w:t xml:space="preserve">, 2024 SKCA 115.</w:t>
      </w:r>
    </w:p>
    <w:p>
      <w:pPr>
        <w:pStyle w:val="ListParagraph"/>
        <w:numPr>
          <w:ilvl w:val="0"/>
          <w:numId w:val="1"/>
        </w:numPr>
        <w:spacing w:after="80"/>
      </w:pPr>
      <w:r>
        <w:rPr>
          <w:b/>
          <w:bCs/>
        </w:rPr>
        <w:t xml:space="preserve">Securities.</w:t>
      </w:r>
      <w:r>
        <w:t xml:space="preserve">In</w:t>
      </w:r>
      <w:r>
        <w:rPr>
          <w:i/>
          <w:iCs/>
        </w:rPr>
        <w:t xml:space="preserve">Friel v. Dapper Labs, Inc.</w:t>
      </w:r>
      <w:r>
        <w:t xml:space="preserve">, 657 F. Supp. 3d 422 (S.D.N.Y. 2023), the court considered promotional posts that used rocket-ship, chart, and money-bag emoji as part of the context suggesting an expectation of profit under</w:t>
      </w:r>
      <w:r>
        <w:rPr>
          <w:i/>
          <w:iCs/>
        </w:rPr>
        <w:t xml:space="preserve">Howey</w:t>
      </w:r>
      <w:r>
        <w:t xml:space="preserve">.</w:t>
      </w:r>
    </w:p>
    <w:p>
      <w:pPr>
        <w:pStyle w:val="ListParagraph"/>
        <w:numPr>
          <w:ilvl w:val="0"/>
          <w:numId w:val="1"/>
        </w:numPr>
        <w:spacing w:after="80"/>
      </w:pPr>
      <w:r>
        <w:rPr>
          <w:b/>
          <w:bCs/>
        </w:rPr>
        <w:t xml:space="preserve">True threats.</w:t>
      </w:r>
      <w:r>
        <w:rPr>
          <w:i/>
          <w:iCs/>
        </w:rPr>
        <w:t xml:space="preserve">Counterman v. Colorado</w:t>
      </w:r>
      <w:r>
        <w:t xml:space="preserve">(2023) adopted a recklessness standard, making the speaker's understanding of emoji and context relevant to liability.</w:t>
      </w:r>
    </w:p>
    <w:p>
      <w:pPr>
        <w:pStyle w:val="ListParagraph"/>
        <w:numPr>
          <w:ilvl w:val="0"/>
          <w:numId w:val="1"/>
        </w:numPr>
        <w:spacing w:after="80"/>
      </w:pPr>
      <w:r>
        <w:rPr>
          <w:b/>
          <w:bCs/>
        </w:rPr>
        <w:t xml:space="preserve">Platform convergence.</w:t>
      </w:r>
      <w:r>
        <w:t xml:space="preserve">Following Apple's 2016 change, the major platforms depicted the "pistol" emoji as a water gun by 2018–2019, reducing one prominent source of cross-platform misunderstanding. X reverted to a realistic firearm design in July 2024.</w:t>
      </w:r>
    </w:p>
    <w:p>
      <w:pPr>
        <w:pStyle w:val="ListParagraph"/>
        <w:numPr>
          <w:ilvl w:val="0"/>
          <w:numId w:val="1"/>
        </w:numPr>
        <w:spacing w:after="80"/>
      </w:pPr>
      <w:r>
        <w:rPr>
          <w:b/>
          <w:bCs/>
        </w:rPr>
        <w:t xml:space="preserve">Emoji as securities statements.</w:t>
      </w:r>
      <w:r>
        <w:rPr>
          <w:i/>
          <w:iCs/>
        </w:rPr>
        <w:t xml:space="preserve">In re Bed Bath &amp; Beyond Corp. Securities Litigation</w:t>
      </w:r>
      <w:r>
        <w:t xml:space="preserve">, No. 22-cv-2541 (D.D.C. July 27, 2023), held that an investor's tweeted smiling-moon emoji could support a securities fraud claim, reasoning that emoji may be actionable if they communicate an idea that would otherwise be actionable.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2026-09-28T18:13:10.713Z</dcterms:created>
  <dcterms:modified xsi:type="dcterms:W3CDTF">2026-09-28T18:13:10.713Z</dcterms:modified>
</cp:coreProperties>
</file>

<file path=docProps/custom.xml><?xml version="1.0" encoding="utf-8"?>
<Properties xmlns="http://schemas.openxmlformats.org/officeDocument/2006/custom-properties" xmlns:vt="http://schemas.openxmlformats.org/officeDocument/2006/docPropsVTypes"/>
</file>