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Qualified Immunity of the Police</w:t>
      </w:r>
    </w:p>
    <w:p>
      <w:pPr>
        <w:spacing w:after="200"/>
      </w:pPr>
      <w:r>
        <w:rPr>
          <w:rFonts w:ascii="Montserrat" w:cs="Montserrat" w:eastAsia="Montserrat" w:hAnsi="Montserrat"/>
          <w:b/>
          <w:bCs/>
          <w:color w:val="E87722"/>
          <w:sz w:val="24"/>
          <w:szCs w:val="24"/>
        </w:rPr>
        <w:t xml:space="preserve">Prof. Fred Smith, Jr.</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qualified immunity, the judge-made doctrine that shields government officials, including police officers, from liability for civil damages under 42 U.S.C. § 1983 unless they violated clearly established constitutional rights. It covers the doctrine's origins and rationale, how courts determine whether law is "clearly established," the relationship between qualified immunity and other immunities and municipal liability, empirical research on indemnification, criticism from across the ideological spectrum, proposals for reform, and developments since 2019.</w:t>
      </w:r>
    </w:p>
    <w:p>
      <w:pPr>
        <w:pStyle w:val="Heading2"/>
        <w:spacing w:after="120" w:before="240"/>
      </w:pPr>
      <w:r>
        <w:rPr>
          <w:b/>
          <w:bCs/>
        </w:rPr>
        <w:t xml:space="preserve">Learning Objectives</w:t>
      </w:r>
    </w:p>
    <w:p>
      <w:pPr>
        <w:pStyle w:val="ListParagraph"/>
        <w:numPr>
          <w:ilvl w:val="0"/>
          <w:numId w:val="1"/>
        </w:numPr>
        <w:spacing w:after="80"/>
      </w:pPr>
      <w:r>
        <w:t xml:space="preserve">State the qualified immunity standard and the two-step analysis courts apply.</w:t>
      </w:r>
    </w:p>
    <w:p>
      <w:pPr>
        <w:pStyle w:val="ListParagraph"/>
        <w:numPr>
          <w:ilvl w:val="0"/>
          <w:numId w:val="1"/>
        </w:numPr>
        <w:spacing w:after="80"/>
      </w:pPr>
      <w:r>
        <w:t xml:space="preserve">Identify the ways a plaintiff can show that law was clearly established.</w:t>
      </w:r>
    </w:p>
    <w:p>
      <w:pPr>
        <w:pStyle w:val="ListParagraph"/>
        <w:numPr>
          <w:ilvl w:val="0"/>
          <w:numId w:val="1"/>
        </w:numPr>
        <w:spacing w:after="80"/>
      </w:pPr>
      <w:r>
        <w:t xml:space="preserve">Distinguish qualified immunity from absolute immunity, sovereign immunity, and municipal liability under</w:t>
      </w:r>
      <w:r>
        <w:rPr>
          <w:i/>
          <w:iCs/>
        </w:rPr>
        <w:t xml:space="preserve">Monell</w:t>
      </w:r>
      <w:r>
        <w:t xml:space="preserve">.</w:t>
      </w:r>
    </w:p>
    <w:p>
      <w:pPr>
        <w:pStyle w:val="ListParagraph"/>
        <w:numPr>
          <w:ilvl w:val="0"/>
          <w:numId w:val="1"/>
        </w:numPr>
        <w:spacing w:after="80"/>
      </w:pPr>
      <w:r>
        <w:t xml:space="preserve">Evaluate textual, historical, empirical, and policy critiques and defenses of the doctrine.</w:t>
      </w:r>
    </w:p>
    <w:p>
      <w:pPr>
        <w:pStyle w:val="ListParagraph"/>
        <w:numPr>
          <w:ilvl w:val="0"/>
          <w:numId w:val="1"/>
        </w:numPr>
        <w:spacing w:after="80"/>
      </w:pPr>
      <w:r>
        <w:t xml:space="preserve">Describe federal, state, and local reform efforts since 2020.</w:t>
      </w:r>
    </w:p>
    <w:p>
      <w:pPr>
        <w:pStyle w:val="Heading2"/>
        <w:spacing w:after="120" w:before="240"/>
      </w:pPr>
      <w:r>
        <w:rPr>
          <w:b/>
          <w:bCs/>
        </w:rPr>
        <w:t xml:space="preserve">The Statutory Framework: Section 1983</w:t>
      </w:r>
    </w:p>
    <w:p>
      <w:pPr>
        <w:spacing w:after="160"/>
      </w:pPr>
      <w:r>
        <w:t xml:space="preserve">Section 1 of the Civil Rights Act of 1871, codified at 42 U.S.C. § 1983, provides a cause of action against any person who, under color of state law, deprives another of rights secured by the Constitution or federal law. The statute's text contains no immunity defense. Courts have read common-law immunities into it.</w:t>
      </w:r>
      <w:r>
        <w:rPr>
          <w:i/>
          <w:iCs/>
        </w:rPr>
        <w:t xml:space="preserve">Pierson v. Ray</w:t>
      </w:r>
      <w:r>
        <w:t xml:space="preserve">, 386 U.S. 547 (1967) (good-faith defense for police officers).</w:t>
      </w:r>
    </w:p>
    <w:p>
      <w:pPr>
        <w:pStyle w:val="Heading2"/>
        <w:spacing w:after="120" w:before="240"/>
      </w:pPr>
      <w:r>
        <w:rPr>
          <w:b/>
          <w:bCs/>
        </w:rPr>
        <w:t xml:space="preserve">The Modern Standard</w:t>
      </w:r>
    </w:p>
    <w:p>
      <w:pPr>
        <w:spacing w:after="160"/>
      </w:pPr>
      <w:r>
        <w:t xml:space="preserve">In</w:t>
      </w:r>
      <w:r>
        <w:rPr>
          <w:i/>
          <w:iCs/>
        </w:rPr>
        <w:t xml:space="preserve">Harlow v. Fitzgerald</w:t>
      </w:r>
      <w:r>
        <w:t xml:space="preserve">, 457 U.S. 800, 818 (1982), the Court eliminated the subjective good-faith inquiry and held that officials performing discretionary functions are immune from damages "insofar as their conduct does not violate clearly established statutory or constitutional rights of which a reasonable person would have known." The Court described this as a balance between vindicating rights and protecting officials from the costs of litigation and the chilling of vigorous decision-making. Courts ask (1) whether the facts show a constitutional violation and (2) whether the right was clearly established at the time. Courts may address the prongs in either order.</w:t>
      </w:r>
      <w:r>
        <w:rPr>
          <w:i/>
          <w:iCs/>
        </w:rPr>
        <w:t xml:space="preserve">Pearson v. Callahan</w:t>
      </w:r>
      <w:r>
        <w:t xml:space="preserve">, 555 U.S. 223 (2009). Qualified immunity is immunity from suit, not merely a defense to liability, and denials are immediately appealable.</w:t>
      </w:r>
      <w:r>
        <w:rPr>
          <w:i/>
          <w:iCs/>
        </w:rPr>
        <w:t xml:space="preserve">Mitchell v. Forsyth</w:t>
      </w:r>
      <w:r>
        <w:t xml:space="preserve">, 472 U.S. 511 (1985).</w:t>
      </w:r>
    </w:p>
    <w:p>
      <w:pPr>
        <w:pStyle w:val="Heading2"/>
        <w:spacing w:after="120" w:before="240"/>
      </w:pPr>
      <w:r>
        <w:rPr>
          <w:b/>
          <w:bCs/>
        </w:rPr>
        <w:t xml:space="preserve">Showing Clearly Established Law</w:t>
      </w:r>
    </w:p>
    <w:p>
      <w:pPr>
        <w:pStyle w:val="ListParagraph"/>
        <w:numPr>
          <w:ilvl w:val="0"/>
          <w:numId w:val="1"/>
        </w:numPr>
        <w:spacing w:after="80"/>
      </w:pPr>
      <w:r>
        <w:rPr>
          <w:b/>
          <w:bCs/>
        </w:rPr>
        <w:t xml:space="preserve">Closely analogous precedent.</w:t>
      </w:r>
      <w:r>
        <w:t xml:space="preserve">Courts have repeatedly cautioned against defining clearly established law "at a high level of generality."</w:t>
      </w:r>
      <w:r>
        <w:rPr>
          <w:i/>
          <w:iCs/>
        </w:rPr>
        <w:t xml:space="preserve">Ashcroft v. al-Kidd</w:t>
      </w:r>
      <w:r>
        <w:t xml:space="preserve">, 563 U.S. 731, 742 (2011). Existing precedent must place the question "beyond debate."</w:t>
      </w:r>
      <w:r>
        <w:rPr>
          <w:i/>
          <w:iCs/>
        </w:rPr>
        <w:t xml:space="preserve">Mullenix v. Luna</w:t>
      </w:r>
      <w:r>
        <w:t xml:space="preserve">, 577 U.S. 7 (2015) (per curiam);</w:t>
      </w:r>
      <w:r>
        <w:rPr>
          <w:i/>
          <w:iCs/>
        </w:rPr>
        <w:t xml:space="preserve">Kisela v. Hughes</w:t>
      </w:r>
      <w:r>
        <w:t xml:space="preserve">, 584 U.S. 100 (2018) (per curiam).</w:t>
      </w:r>
    </w:p>
    <w:p>
      <w:pPr>
        <w:pStyle w:val="ListParagraph"/>
        <w:numPr>
          <w:ilvl w:val="0"/>
          <w:numId w:val="1"/>
        </w:numPr>
        <w:spacing w:after="80"/>
      </w:pPr>
      <w:r>
        <w:rPr>
          <w:b/>
          <w:bCs/>
        </w:rPr>
        <w:t xml:space="preserve">Obvious violations.</w:t>
      </w:r>
      <w:r>
        <w:t xml:space="preserve">"[O]fficials can still be on notice that their conduct violates established law even in novel factual circumstances."</w:t>
      </w:r>
      <w:r>
        <w:rPr>
          <w:i/>
          <w:iCs/>
        </w:rPr>
        <w:t xml:space="preserve">Hope v. Pelzer</w:t>
      </w:r>
      <w:r>
        <w:t xml:space="preserve">, 536 U.S. 730, 741 (2002) (hitching post); see also</w:t>
      </w:r>
      <w:r>
        <w:rPr>
          <w:i/>
          <w:iCs/>
        </w:rPr>
        <w:t xml:space="preserve">Taylor v. Riojas</w:t>
      </w:r>
      <w:r>
        <w:t xml:space="preserve">, 592 U.S. 7 (2020) (per curiam).</w:t>
      </w:r>
    </w:p>
    <w:p>
      <w:pPr>
        <w:pStyle w:val="ListParagraph"/>
        <w:numPr>
          <w:ilvl w:val="0"/>
          <w:numId w:val="1"/>
        </w:numPr>
        <w:spacing w:after="80"/>
      </w:pPr>
      <w:r>
        <w:rPr>
          <w:b/>
          <w:bCs/>
        </w:rPr>
        <w:t xml:space="preserve">Clear constitutional text.</w:t>
      </w:r>
      <w:r>
        <w:rPr>
          <w:i/>
          <w:iCs/>
        </w:rPr>
        <w:t xml:space="preserve">Groh v. Ramirez</w:t>
      </w:r>
      <w:r>
        <w:t xml:space="preserve">, 540 U.S. 551 (2004) (warrant that failed to describe the items to be seized was so obviously deficient that no reasonable officer could rely on it).</w:t>
      </w:r>
    </w:p>
    <w:p>
      <w:pPr>
        <w:spacing w:after="160"/>
      </w:pPr>
      <w:r>
        <w:t xml:space="preserve">The inquiry is objective: courts look to the state of the law when the conduct occurred, not to the officer's actual knowledge.</w:t>
      </w:r>
    </w:p>
    <w:p>
      <w:pPr>
        <w:pStyle w:val="Heading2"/>
        <w:spacing w:after="120" w:before="240"/>
      </w:pPr>
      <w:r>
        <w:rPr>
          <w:b/>
          <w:bCs/>
        </w:rPr>
        <w:t xml:space="preserve">Related Immunities and Municipal Liability</w:t>
      </w:r>
    </w:p>
    <w:p>
      <w:pPr>
        <w:pStyle w:val="ListParagraph"/>
        <w:numPr>
          <w:ilvl w:val="0"/>
          <w:numId w:val="1"/>
        </w:numPr>
        <w:spacing w:after="80"/>
      </w:pPr>
      <w:r>
        <w:rPr>
          <w:b/>
          <w:bCs/>
        </w:rPr>
        <w:t xml:space="preserve">Absolute immunity</w:t>
      </w:r>
      <w:r>
        <w:t xml:space="preserve">protects judges, prosecutors acting as advocates, legislators, and witnesses for certain functions.</w:t>
      </w:r>
      <w:r>
        <w:rPr>
          <w:i/>
          <w:iCs/>
        </w:rPr>
        <w:t xml:space="preserve">Imbler v. Pachtman</w:t>
      </w:r>
      <w:r>
        <w:t xml:space="preserve">, 424 U.S. 409 (1976).</w:t>
      </w:r>
    </w:p>
    <w:p>
      <w:pPr>
        <w:pStyle w:val="ListParagraph"/>
        <w:numPr>
          <w:ilvl w:val="0"/>
          <w:numId w:val="1"/>
        </w:numPr>
        <w:spacing w:after="80"/>
      </w:pPr>
      <w:r>
        <w:rPr>
          <w:b/>
          <w:bCs/>
        </w:rPr>
        <w:t xml:space="preserve">State sovereign immunity.</w:t>
      </w:r>
      <w:r>
        <w:t xml:space="preserve">States and state agencies are not "persons" under § 1983.</w:t>
      </w:r>
      <w:r>
        <w:rPr>
          <w:i/>
          <w:iCs/>
        </w:rPr>
        <w:t xml:space="preserve">Will v. Michigan Department of State Police</w:t>
      </w:r>
      <w:r>
        <w:t xml:space="preserve">, 491 U.S. 58 (1989).</w:t>
      </w:r>
    </w:p>
    <w:p>
      <w:pPr>
        <w:pStyle w:val="ListParagraph"/>
        <w:numPr>
          <w:ilvl w:val="0"/>
          <w:numId w:val="1"/>
        </w:numPr>
        <w:spacing w:after="80"/>
      </w:pPr>
      <w:r>
        <w:rPr>
          <w:b/>
          <w:bCs/>
        </w:rPr>
        <w:t xml:space="preserve">Municipal liability.</w:t>
      </w:r>
      <w:r>
        <w:t xml:space="preserve">Local governments may be sued under § 1983 only for violations caused by an official policy or custom, not on a respondeat superior theory.</w:t>
      </w:r>
      <w:r>
        <w:rPr>
          <w:i/>
          <w:iCs/>
        </w:rPr>
        <w:t xml:space="preserve">Monell v. Department of Social Services</w:t>
      </w:r>
      <w:r>
        <w:t xml:space="preserve">, 436 U.S. 658 (1978);</w:t>
      </w:r>
      <w:r>
        <w:rPr>
          <w:i/>
          <w:iCs/>
        </w:rPr>
        <w:t xml:space="preserve">City of Canton v. Harris</w:t>
      </w:r>
      <w:r>
        <w:t xml:space="preserve">, 489 U.S. 378 (1989) (failure to train). Municipalities do not have qualified immunity.</w:t>
      </w:r>
      <w:r>
        <w:rPr>
          <w:i/>
          <w:iCs/>
        </w:rPr>
        <w:t xml:space="preserve">Owen v. City of Independence</w:t>
      </w:r>
      <w:r>
        <w:t xml:space="preserve">, 445 U.S. 622 (1980).</w:t>
      </w:r>
    </w:p>
    <w:p>
      <w:pPr>
        <w:pStyle w:val="ListParagraph"/>
        <w:numPr>
          <w:ilvl w:val="0"/>
          <w:numId w:val="1"/>
        </w:numPr>
        <w:spacing w:after="80"/>
      </w:pPr>
      <w:r>
        <w:rPr>
          <w:b/>
          <w:bCs/>
        </w:rPr>
        <w:t xml:space="preserve">Federal officers.</w:t>
      </w:r>
      <w:r>
        <w:t xml:space="preserve">Damages actions against federal officers depend on</w:t>
      </w:r>
      <w:r>
        <w:rPr>
          <w:i/>
          <w:iCs/>
        </w:rPr>
        <w:t xml:space="preserve">Bivens v. Six Unknown Named Agents</w:t>
      </w:r>
      <w:r>
        <w:t xml:space="preserve">, 403 U.S. 388 (1971), which the Court has sharply limited.</w:t>
      </w:r>
      <w:r>
        <w:rPr>
          <w:i/>
          <w:iCs/>
        </w:rPr>
        <w:t xml:space="preserve">Ziglar v. Abbasi</w:t>
      </w:r>
      <w:r>
        <w:t xml:space="preserve">, 582 U.S. 120 (2017);</w:t>
      </w:r>
      <w:r>
        <w:rPr>
          <w:i/>
          <w:iCs/>
        </w:rPr>
        <w:t xml:space="preserve">Egbert v. Boule</w:t>
      </w:r>
      <w:r>
        <w:t xml:space="preserve">, 596 U.S. 482 (2022).</w:t>
      </w:r>
    </w:p>
    <w:p>
      <w:pPr>
        <w:spacing w:after="160"/>
      </w:pPr>
      <w:r>
        <w:t xml:space="preserve">Professor Smith argues that these doctrines interact to leave many victims without a defendant, and proposes allowing suits against the employing local government when immunities foreclose individual accountability. Fred O. Smith, Jr.,</w:t>
      </w:r>
      <w:r>
        <w:rPr>
          <w:i/>
          <w:iCs/>
        </w:rPr>
        <w:t xml:space="preserve">Local Sovereign Immunity</w:t>
      </w:r>
      <w:r>
        <w:t xml:space="preserve">, 116 Colum. L. Rev. 409 (2016).</w:t>
      </w:r>
    </w:p>
    <w:p>
      <w:pPr>
        <w:pStyle w:val="Heading2"/>
        <w:spacing w:after="120" w:before="240"/>
      </w:pPr>
      <w:r>
        <w:rPr>
          <w:b/>
          <w:bCs/>
        </w:rPr>
        <w:t xml:space="preserve">Empirical Research and Critiques</w:t>
      </w:r>
    </w:p>
    <w:p>
      <w:pPr>
        <w:pStyle w:val="ListParagraph"/>
        <w:numPr>
          <w:ilvl w:val="0"/>
          <w:numId w:val="1"/>
        </w:numPr>
        <w:spacing w:after="80"/>
      </w:pPr>
      <w:r>
        <w:rPr>
          <w:b/>
          <w:bCs/>
        </w:rPr>
        <w:t xml:space="preserve">Indemnification.</w:t>
      </w:r>
      <w:r>
        <w:t xml:space="preserve">Officers almost never pay settlements or judgments personally. Joanna C. Schwartz,</w:t>
      </w:r>
      <w:r>
        <w:rPr>
          <w:i/>
          <w:iCs/>
        </w:rPr>
        <w:t xml:space="preserve">Police Indemnification</w:t>
      </w:r>
      <w:r>
        <w:t xml:space="preserve">, 89 N.Y.U. L. Rev. 885 (2014) (officers paid about 0.02 percent of amounts awarded in the sample studied). Schwartz also found that qualified immunity rarely ends cases at the pleading stage.</w:t>
      </w:r>
      <w:r>
        <w:rPr>
          <w:i/>
          <w:iCs/>
        </w:rPr>
        <w:t xml:space="preserve">How Qualified Immunity Fails</w:t>
      </w:r>
      <w:r>
        <w:t xml:space="preserve">, 127 Yale L.J. 2 (2017).</w:t>
      </w:r>
    </w:p>
    <w:p>
      <w:pPr>
        <w:pStyle w:val="ListParagraph"/>
        <w:numPr>
          <w:ilvl w:val="0"/>
          <w:numId w:val="1"/>
        </w:numPr>
        <w:spacing w:after="80"/>
      </w:pPr>
      <w:r>
        <w:rPr>
          <w:b/>
          <w:bCs/>
        </w:rPr>
        <w:t xml:space="preserve">Textual and historical critique.</w:t>
      </w:r>
      <w:r>
        <w:t xml:space="preserve">William Baude,</w:t>
      </w:r>
      <w:r>
        <w:rPr>
          <w:i/>
          <w:iCs/>
        </w:rPr>
        <w:t xml:space="preserve">Is Qualified Immunity Unlawful?</w:t>
      </w:r>
      <w:r>
        <w:t xml:space="preserve">, 106 Calif. L. Rev. 45 (2018). Scholars have also noted that the originally enacted text of the 1871 Act included language displacing contrary state law and custom, which was omitted in later codification.</w:t>
      </w:r>
    </w:p>
    <w:p>
      <w:pPr>
        <w:pStyle w:val="ListParagraph"/>
        <w:numPr>
          <w:ilvl w:val="0"/>
          <w:numId w:val="1"/>
        </w:numPr>
        <w:spacing w:after="80"/>
      </w:pPr>
      <w:r>
        <w:rPr>
          <w:b/>
          <w:bCs/>
        </w:rPr>
        <w:t xml:space="preserve">Judicial critiques.</w:t>
      </w:r>
      <w:r>
        <w:rPr>
          <w:i/>
          <w:iCs/>
        </w:rPr>
        <w:t xml:space="preserve">Ziglar v. Abbasi</w:t>
      </w:r>
      <w:r>
        <w:t xml:space="preserve">, 582 U.S. 120 (2017) (Thomas, J., concurring in part and concurring in the judgment) (questioning the doctrine's grounding in the common law of 1871);</w:t>
      </w:r>
      <w:r>
        <w:rPr>
          <w:i/>
          <w:iCs/>
        </w:rPr>
        <w:t xml:space="preserve">Kisela v. Hughes</w:t>
      </w:r>
      <w:r>
        <w:t xml:space="preserve">, 584 U.S. 100 (2018) (Sotomayor, J., dissenting) (warning that a one-sided approach "transforms the doctrine into an absolute shield for law enforcement officers").</w:t>
      </w:r>
    </w:p>
    <w:p>
      <w:pPr>
        <w:pStyle w:val="ListParagraph"/>
        <w:numPr>
          <w:ilvl w:val="0"/>
          <w:numId w:val="1"/>
        </w:numPr>
        <w:spacing w:after="80"/>
      </w:pPr>
      <w:r>
        <w:rPr>
          <w:b/>
          <w:bCs/>
        </w:rPr>
        <w:t xml:space="preserve">Defenses.</w:t>
      </w:r>
      <w:r>
        <w:t xml:space="preserve">Supporters argue that qualified immunity protects officers who make split-second decisions, prevents over-deterrence and excessive litigation costs, and reflects congressional acquiescence. They also argue that changes should come from Congress.</w:t>
      </w:r>
    </w:p>
    <w:p>
      <w:pPr>
        <w:pStyle w:val="Heading2"/>
        <w:spacing w:after="120" w:before="240"/>
      </w:pPr>
      <w:r>
        <w:rPr>
          <w:b/>
          <w:bCs/>
        </w:rPr>
        <w:t xml:space="preserve">Legitimacy and Accountability</w:t>
      </w:r>
    </w:p>
    <w:p>
      <w:pPr>
        <w:spacing w:after="160"/>
      </w:pPr>
      <w:r>
        <w:t xml:space="preserve">Research on procedural justice links perceptions of fairness to trust in and compliance with the law. Monica C. Bell,</w:t>
      </w:r>
      <w:r>
        <w:rPr>
          <w:i/>
          <w:iCs/>
        </w:rPr>
        <w:t xml:space="preserve">Police Reform and the Dismantling of Legal Estrangement</w:t>
      </w:r>
      <w:r>
        <w:t xml:space="preserve">, 126 Yale L.J. 2054 (2017), describes "legal estrangement," a collective sense among some communities of being outside the law's protection. Professor Smith frames accountability as three functions: declaratory (an official finding of wrongdoing), compensatory (making the injured person whole), and corrective (preventing recurrence).</w:t>
      </w:r>
    </w:p>
    <w:p>
      <w:pPr>
        <w:pStyle w:val="Heading2"/>
        <w:spacing w:after="120" w:before="240"/>
      </w:pPr>
      <w:r>
        <w:rPr>
          <w:b/>
          <w:bCs/>
        </w:rPr>
        <w:t xml:space="preserve">Developments to Know</w:t>
      </w:r>
    </w:p>
    <w:p>
      <w:pPr>
        <w:pStyle w:val="ListParagraph"/>
        <w:numPr>
          <w:ilvl w:val="0"/>
          <w:numId w:val="1"/>
        </w:numPr>
        <w:spacing w:after="80"/>
      </w:pPr>
      <w:r>
        <w:rPr>
          <w:b/>
          <w:bCs/>
        </w:rPr>
        <w:t xml:space="preserve">Certiorari denials (2020).</w:t>
      </w:r>
      <w:r>
        <w:t xml:space="preserve">In June 2020, the Court denied a group of petitions asking it to reconsider qualified immunity.</w:t>
      </w:r>
      <w:r>
        <w:rPr>
          <w:i/>
          <w:iCs/>
        </w:rPr>
        <w:t xml:space="preserve">Baxter v. Bracey</w:t>
      </w:r>
      <w:r>
        <w:t xml:space="preserve">, 140 S. Ct. 1862 (2020) (Thomas, J., dissenting from denial of certiorari).</w:t>
      </w:r>
    </w:p>
    <w:p>
      <w:pPr>
        <w:pStyle w:val="ListParagraph"/>
        <w:numPr>
          <w:ilvl w:val="0"/>
          <w:numId w:val="1"/>
        </w:numPr>
        <w:spacing w:after="80"/>
      </w:pPr>
      <w:r>
        <w:rPr>
          <w:b/>
          <w:bCs/>
        </w:rPr>
        <w:t xml:space="preserve">Recent Supreme Court decisions.</w:t>
      </w:r>
      <w:r>
        <w:t xml:space="preserve">The Court granted qualified immunity in summary reversals in</w:t>
      </w:r>
      <w:r>
        <w:rPr>
          <w:i/>
          <w:iCs/>
        </w:rPr>
        <w:t xml:space="preserve">Rivas-Villegas v. Cortesluna</w:t>
      </w:r>
      <w:r>
        <w:t xml:space="preserve">, 595 U.S. 1 (2021), and</w:t>
      </w:r>
      <w:r>
        <w:rPr>
          <w:i/>
          <w:iCs/>
        </w:rPr>
        <w:t xml:space="preserve">City of Tahlequah v. Bond</w:t>
      </w:r>
      <w:r>
        <w:t xml:space="preserve">, 595 U.S. 9 (2021), and again in</w:t>
      </w:r>
      <w:r>
        <w:rPr>
          <w:i/>
          <w:iCs/>
        </w:rPr>
        <w:t xml:space="preserve">Zorn v. Linton</w:t>
      </w:r>
      <w:r>
        <w:t xml:space="preserve">, 607 U.S. ___ (2026) (per curiam) (officer who used a wristlock on a passively resisting protester), over the dissent of Justices Sotomayor, Kagan, and Jackson. In</w:t>
      </w:r>
      <w:r>
        <w:rPr>
          <w:i/>
          <w:iCs/>
        </w:rPr>
        <w:t xml:space="preserve">Barnes v. Felix</w:t>
      </w:r>
      <w:r>
        <w:t xml:space="preserve">, 605 U.S. ___ (2025), the Court unanimously rejected the "moment of threat" doctrine and held that excessive force claims require consideration of the totality of the circumstances.</w:t>
      </w:r>
      <w:r>
        <w:rPr>
          <w:i/>
          <w:iCs/>
        </w:rPr>
        <w:t xml:space="preserve">Vega v. Tekoh</w:t>
      </w:r>
      <w:r>
        <w:t xml:space="preserve">, 597 U.S. 134 (2022), held that a</w:t>
      </w:r>
      <w:r>
        <w:rPr>
          <w:i/>
          <w:iCs/>
        </w:rPr>
        <w:t xml:space="preserve">Miranda</w:t>
      </w:r>
      <w:r>
        <w:t xml:space="preserve">violation does not support a § 1983 claim.</w:t>
      </w:r>
    </w:p>
    <w:p>
      <w:pPr>
        <w:pStyle w:val="ListParagraph"/>
        <w:numPr>
          <w:ilvl w:val="0"/>
          <w:numId w:val="1"/>
        </w:numPr>
        <w:spacing w:after="80"/>
      </w:pPr>
      <w:r>
        <w:rPr>
          <w:b/>
          <w:bCs/>
        </w:rPr>
        <w:t xml:space="preserve">Federal legislation.</w:t>
      </w:r>
      <w:r>
        <w:t xml:space="preserve">The George Floyd Justice in Policing Act, which would eliminate qualified immunity for law enforcement officers, passed the House in 2020 and 2021 but was not enacted.</w:t>
      </w:r>
    </w:p>
    <w:p>
      <w:pPr>
        <w:pStyle w:val="ListParagraph"/>
        <w:numPr>
          <w:ilvl w:val="0"/>
          <w:numId w:val="1"/>
        </w:numPr>
        <w:spacing w:after="80"/>
      </w:pPr>
      <w:r>
        <w:rPr>
          <w:b/>
          <w:bCs/>
        </w:rPr>
        <w:t xml:space="preserve">State and local reform.</w:t>
      </w:r>
      <w:r>
        <w:t xml:space="preserve">Colorado (S.B. 20-217, 2020) created a state cause of action against peace officers without a qualified immunity defense and with limited personal liability. New Mexico's Civil Rights Act (2021) created a state cause of action against public bodies and barred qualified immunity as a defense. New York City (Local Law 48 of 2021) created a local right of action for unreasonable searches and seizures and excessive force without qualified immunity. Other states have adopted narrower reforms.</w:t>
      </w:r>
    </w:p>
    <w:p>
      <w:pPr>
        <w:pStyle w:val="ListParagraph"/>
        <w:numPr>
          <w:ilvl w:val="0"/>
          <w:numId w:val="1"/>
        </w:numPr>
        <w:spacing w:after="80"/>
      </w:pPr>
      <w:r>
        <w:rPr>
          <w:b/>
          <w:bCs/>
        </w:rPr>
        <w:t xml:space="preserve">Pattern-or-practice enforcement.</w:t>
      </w:r>
      <w:r>
        <w:t xml:space="preserve">The Justice Department's authority under 34 U.S.C. § 12601 to investigate police departments continues, but in 2025 the Department moved to dismiss consent decree cases involving the Minneapolis and Louisville police departments and withdrew several findings reports. Courts granted the dismissals (Minneapolis, May 2025; Louisville, December 2025).</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2026-09-28T18:12:50.687Z</dcterms:created>
  <dcterms:modified xsi:type="dcterms:W3CDTF">2026-09-28T18:12:50.687Z</dcterms:modified>
</cp:coreProperties>
</file>

<file path=docProps/custom.xml><?xml version="1.0" encoding="utf-8"?>
<Properties xmlns="http://schemas.openxmlformats.org/officeDocument/2006/custom-properties" xmlns:vt="http://schemas.openxmlformats.org/officeDocument/2006/docPropsVTypes"/>
</file>