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Case for Holistic Defense</w:t>
      </w:r>
    </w:p>
    <w:p>
      <w:pPr>
        <w:spacing w:after="200"/>
      </w:pPr>
      <w:r>
        <w:rPr>
          <w:rFonts w:ascii="Montserrat" w:cs="Montserrat" w:eastAsia="Montserrat" w:hAnsi="Montserrat"/>
          <w:b/>
          <w:bCs/>
          <w:color w:val="E87722"/>
          <w:sz w:val="24"/>
          <w:szCs w:val="24"/>
        </w:rPr>
        <w:t xml:space="preserve">Robin Steinberg</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holistic model of public defense, an interdisciplinary approach that addresses both a client's criminal case and the collateral consequences of arrest and conviction in other areas: housing, family and child welfare, employment, immigration, public benefits, and education. It covers the model's core principles, its relationship to defense counsel's constitutional and ethical duties, empirical evidence on outcomes, the Still She Rises office for mothers in Tulsa, Oklahoma, and related issues of bail, fines, and fees. It concludes with developments in the right to counsel and criminal legal reform since 2018.</w:t>
      </w:r>
    </w:p>
    <w:p>
      <w:pPr>
        <w:pStyle w:val="Heading2"/>
        <w:spacing w:after="120" w:before="240"/>
      </w:pPr>
      <w:r>
        <w:rPr>
          <w:b/>
          <w:bCs/>
        </w:rPr>
        <w:t xml:space="preserve">Learning Objectives</w:t>
      </w:r>
    </w:p>
    <w:p>
      <w:pPr>
        <w:pStyle w:val="ListParagraph"/>
        <w:numPr>
          <w:ilvl w:val="0"/>
          <w:numId w:val="1"/>
        </w:numPr>
        <w:spacing w:after="80"/>
      </w:pPr>
      <w:r>
        <w:t xml:space="preserve">Define holistic defense and distinguish it from the traditional public defender model.</w:t>
      </w:r>
    </w:p>
    <w:p>
      <w:pPr>
        <w:pStyle w:val="ListParagraph"/>
        <w:numPr>
          <w:ilvl w:val="0"/>
          <w:numId w:val="1"/>
        </w:numPr>
        <w:spacing w:after="80"/>
      </w:pPr>
      <w:r>
        <w:t xml:space="preserve">Identify common collateral consequences of arrest and conviction and the legal duties of defense counsel to advise on them.</w:t>
      </w:r>
    </w:p>
    <w:p>
      <w:pPr>
        <w:pStyle w:val="ListParagraph"/>
        <w:numPr>
          <w:ilvl w:val="0"/>
          <w:numId w:val="1"/>
        </w:numPr>
        <w:spacing w:after="80"/>
      </w:pPr>
      <w:r>
        <w:t xml:space="preserve">Describe the core pillars of holistic practice and how interdisciplinary teams coordinate strategy.</w:t>
      </w:r>
    </w:p>
    <w:p>
      <w:pPr>
        <w:pStyle w:val="ListParagraph"/>
        <w:numPr>
          <w:ilvl w:val="0"/>
          <w:numId w:val="1"/>
        </w:numPr>
        <w:spacing w:after="80"/>
      </w:pPr>
      <w:r>
        <w:t xml:space="preserve">Evaluate empirical evidence on the effects of holistic defense on case outcomes and incarceration.</w:t>
      </w:r>
    </w:p>
    <w:p>
      <w:pPr>
        <w:pStyle w:val="ListParagraph"/>
        <w:numPr>
          <w:ilvl w:val="0"/>
          <w:numId w:val="1"/>
        </w:numPr>
        <w:spacing w:after="80"/>
      </w:pPr>
      <w:r>
        <w:t xml:space="preserve">Recognize the gaps in the right to counsel in civil matters and recent efforts to close them.</w:t>
      </w:r>
    </w:p>
    <w:p>
      <w:pPr>
        <w:pStyle w:val="Heading2"/>
        <w:spacing w:after="120" w:before="240"/>
      </w:pPr>
      <w:r>
        <w:rPr>
          <w:b/>
          <w:bCs/>
        </w:rPr>
        <w:t xml:space="preserve">The Right to Counsel and Its Limits</w:t>
      </w:r>
    </w:p>
    <w:p>
      <w:pPr>
        <w:spacing w:after="160"/>
      </w:pPr>
      <w:r>
        <w:rPr>
          <w:i/>
          <w:iCs/>
        </w:rPr>
        <w:t xml:space="preserve">Gideon v. Wainwright</w:t>
      </w:r>
      <w:r>
        <w:t xml:space="preserve">, 372 U.S. 335 (1963), guarantees appointed counsel to indigent defendants charged with felonies, and</w:t>
      </w:r>
      <w:r>
        <w:rPr>
          <w:i/>
          <w:iCs/>
        </w:rPr>
        <w:t xml:space="preserve">Argersinger v. Hamlin</w:t>
      </w:r>
      <w:r>
        <w:t xml:space="preserve">, 407 U.S. 25 (1972), and</w:t>
      </w:r>
      <w:r>
        <w:rPr>
          <w:i/>
          <w:iCs/>
        </w:rPr>
        <w:t xml:space="preserve">Alabama v. Shelton</w:t>
      </w:r>
      <w:r>
        <w:t xml:space="preserve">, 535 U.S. 654 (2002), extend the right to misdemeanors resulting in actual or suspended imprisonment. There is generally no federal constitutional right to appointed counsel in civil matters such as eviction, public benefits, or civil immigration removal. See</w:t>
      </w:r>
      <w:r>
        <w:rPr>
          <w:i/>
          <w:iCs/>
        </w:rPr>
        <w:t xml:space="preserve">Lassiter v. Department of Social Services</w:t>
      </w:r>
      <w:r>
        <w:t xml:space="preserve">, 452 U.S. 18 (1981) (no automatic right to counsel in parental termination proceedings);</w:t>
      </w:r>
      <w:r>
        <w:rPr>
          <w:i/>
          <w:iCs/>
        </w:rPr>
        <w:t xml:space="preserve">Turner v. Rogers</w:t>
      </w:r>
      <w:r>
        <w:t xml:space="preserve">, 564 U.S. 431 (2011) (civil contempt for child support). Removal proceedings provide a right to counsel only "at no expense to the Government." 8 U.S.C. § 1362.</w:t>
      </w:r>
    </w:p>
    <w:p>
      <w:pPr>
        <w:pStyle w:val="Heading2"/>
        <w:spacing w:after="120" w:before="240"/>
      </w:pPr>
      <w:r>
        <w:rPr>
          <w:b/>
          <w:bCs/>
        </w:rPr>
        <w:t xml:space="preserve">Collateral Consequences</w:t>
      </w:r>
    </w:p>
    <w:p>
      <w:pPr>
        <w:spacing w:after="160"/>
      </w:pPr>
      <w:r>
        <w:t xml:space="preserve">Even a minor arrest, before any conviction, can trigger consequences in other systems:</w:t>
      </w:r>
    </w:p>
    <w:p>
      <w:pPr>
        <w:pStyle w:val="ListParagraph"/>
        <w:numPr>
          <w:ilvl w:val="0"/>
          <w:numId w:val="1"/>
        </w:numPr>
        <w:spacing w:after="80"/>
      </w:pPr>
      <w:r>
        <w:rPr>
          <w:b/>
          <w:bCs/>
        </w:rPr>
        <w:t xml:space="preserve">Housing.</w:t>
      </w:r>
      <w:r>
        <w:t xml:space="preserve">Public housing authorities may pursue eviction for certain criminal activity by household members. See 42 U.S.C. § 1437d(</w:t>
      </w:r>
      <w:r>
        <w:rPr>
          <w:i/>
          <w:iCs/>
        </w:rPr>
        <w:t xml:space="preserve">l</w:t>
      </w:r>
      <w:r>
        <w:t xml:space="preserve">)(6);</w:t>
      </w:r>
      <w:r>
        <w:rPr>
          <w:i/>
          <w:iCs/>
        </w:rPr>
        <w:t xml:space="preserve">Department of Housing &amp; Urban Development v. Rucker</w:t>
      </w:r>
      <w:r>
        <w:t xml:space="preserve">, 535 U.S. 125 (2002).</w:t>
      </w:r>
    </w:p>
    <w:p>
      <w:pPr>
        <w:pStyle w:val="ListParagraph"/>
        <w:numPr>
          <w:ilvl w:val="0"/>
          <w:numId w:val="1"/>
        </w:numPr>
        <w:spacing w:after="80"/>
      </w:pPr>
      <w:r>
        <w:rPr>
          <w:b/>
          <w:bCs/>
        </w:rPr>
        <w:t xml:space="preserve">Family.</w:t>
      </w:r>
      <w:r>
        <w:t xml:space="preserve">Arrests can prompt child welfare investigations and family court proceedings. Pretrial detention can separate parents from children, and the Adoption and Safe Families Act time frames, 42 U.S.C. § 675(5)(E), can accelerate termination of parental rights.</w:t>
      </w:r>
    </w:p>
    <w:p>
      <w:pPr>
        <w:pStyle w:val="ListParagraph"/>
        <w:numPr>
          <w:ilvl w:val="0"/>
          <w:numId w:val="1"/>
        </w:numPr>
        <w:spacing w:after="80"/>
      </w:pPr>
      <w:r>
        <w:rPr>
          <w:b/>
          <w:bCs/>
        </w:rPr>
        <w:t xml:space="preserve">Immigration.</w:t>
      </w:r>
      <w:r>
        <w:t xml:space="preserve">Many offenses, including some misdemeanors, can render noncitizens removable or inadmissible, or bar relief. 8 U.S.C. §§ 1182(a)(2), 1227(a)(2).</w:t>
      </w:r>
    </w:p>
    <w:p>
      <w:pPr>
        <w:pStyle w:val="ListParagraph"/>
        <w:numPr>
          <w:ilvl w:val="0"/>
          <w:numId w:val="1"/>
        </w:numPr>
        <w:spacing w:after="80"/>
      </w:pPr>
      <w:r>
        <w:rPr>
          <w:b/>
          <w:bCs/>
        </w:rPr>
        <w:t xml:space="preserve">Employment and licensing.</w:t>
      </w:r>
      <w:r>
        <w:t xml:space="preserve">Arrests and convictions may lead to suspension or termination, licensing barriers, and background-check exclusions.</w:t>
      </w:r>
    </w:p>
    <w:p>
      <w:pPr>
        <w:pStyle w:val="ListParagraph"/>
        <w:numPr>
          <w:ilvl w:val="0"/>
          <w:numId w:val="1"/>
        </w:numPr>
        <w:spacing w:after="80"/>
      </w:pPr>
      <w:r>
        <w:rPr>
          <w:b/>
          <w:bCs/>
        </w:rPr>
        <w:t xml:space="preserve">Benefits and education.</w:t>
      </w:r>
      <w:r>
        <w:t xml:space="preserve">Certain convictions affect eligibility for public benefits and, historically, federal student aid.</w:t>
      </w:r>
    </w:p>
    <w:p>
      <w:pPr>
        <w:spacing w:after="160"/>
      </w:pPr>
      <w:r>
        <w:t xml:space="preserve">The National Inventory of Collateral Consequences of Conviction, maintained by the Council of State Governments Justice Center, catalogs these consequences by jurisdiction.</w:t>
      </w:r>
    </w:p>
    <w:p>
      <w:pPr>
        <w:pStyle w:val="Heading2"/>
        <w:spacing w:after="120" w:before="240"/>
      </w:pPr>
      <w:r>
        <w:rPr>
          <w:b/>
          <w:bCs/>
        </w:rPr>
        <w:t xml:space="preserve">Defense Counsel's Duties</w:t>
      </w:r>
    </w:p>
    <w:p>
      <w:pPr>
        <w:spacing w:after="160"/>
      </w:pPr>
      <w:r>
        <w:t xml:space="preserve">In</w:t>
      </w:r>
      <w:r>
        <w:rPr>
          <w:i/>
          <w:iCs/>
        </w:rPr>
        <w:t xml:space="preserve">Padilla v. Kentucky</w:t>
      </w:r>
      <w:r>
        <w:t xml:space="preserve">, 559 U.S. 356 (2010), the Court held that the Sixth Amendment requires defense counsel to advise noncitizen clients about the deportation risk of a guilty plea, clearly where the consequence is clear. See also</w:t>
      </w:r>
      <w:r>
        <w:rPr>
          <w:i/>
          <w:iCs/>
        </w:rPr>
        <w:t xml:space="preserve">Lee v. United States</w:t>
      </w:r>
      <w:r>
        <w:t xml:space="preserve">, 582 U.S. 357 (2017) (prejudice from erroneous immigration advice). The ABA Criminal Justice Standards for the Defense Function (4th ed. 2017), Standard 4-5.4, direct counsel to identify and advise on collateral consequences and to consider them in negotiating dispositions. Model Rule 1.1 (competence) and Rule 1.4 (communication) support the same duties.</w:t>
      </w:r>
    </w:p>
    <w:p>
      <w:pPr>
        <w:pStyle w:val="Heading2"/>
        <w:spacing w:after="120" w:before="240"/>
      </w:pPr>
      <w:r>
        <w:rPr>
          <w:b/>
          <w:bCs/>
        </w:rPr>
        <w:t xml:space="preserve">The Holistic Defense Model</w:t>
      </w:r>
    </w:p>
    <w:p>
      <w:pPr>
        <w:spacing w:after="160"/>
      </w:pPr>
      <w:r>
        <w:t xml:space="preserve">The Bronx Defenders, founded in 1997, developed the model on the premise that "an arrest is never just an arrest." Its core pillars:</w:t>
      </w:r>
    </w:p>
    <w:p>
      <w:pPr>
        <w:pStyle w:val="ListParagraph"/>
        <w:numPr>
          <w:ilvl w:val="0"/>
          <w:numId w:val="1"/>
        </w:numPr>
        <w:spacing w:after="80"/>
      </w:pPr>
      <w:r>
        <w:rPr>
          <w:b/>
          <w:bCs/>
        </w:rPr>
        <w:t xml:space="preserve">Seamless access to services</w:t>
      </w:r>
      <w:r>
        <w:t xml:space="preserve">through early client assessment and an in-house team of criminal, family, civil, and immigration lawyers, social workers, investigators, and advocates, adapted to local needs.</w:t>
      </w:r>
    </w:p>
    <w:p>
      <w:pPr>
        <w:pStyle w:val="ListParagraph"/>
        <w:numPr>
          <w:ilvl w:val="0"/>
          <w:numId w:val="1"/>
        </w:numPr>
        <w:spacing w:after="80"/>
      </w:pPr>
      <w:r>
        <w:rPr>
          <w:b/>
          <w:bCs/>
        </w:rPr>
        <w:t xml:space="preserve">Dynamic, interdisciplinary communication</w:t>
      </w:r>
      <w:r>
        <w:t xml:space="preserve">so that decisions in one forum, such as a plea in criminal court, are coordinated with their effects in others, such as family court or immigration proceedings.</w:t>
      </w:r>
    </w:p>
    <w:p>
      <w:pPr>
        <w:pStyle w:val="ListParagraph"/>
        <w:numPr>
          <w:ilvl w:val="0"/>
          <w:numId w:val="1"/>
        </w:numPr>
        <w:spacing w:after="80"/>
      </w:pPr>
      <w:r>
        <w:rPr>
          <w:b/>
          <w:bCs/>
        </w:rPr>
        <w:t xml:space="preserve">Advocates with an interdisciplinary skill set</w:t>
      </w:r>
      <w:r>
        <w:t xml:space="preserve">who can spot issues and make internal referrals, without every lawyer becoming a generalist.</w:t>
      </w:r>
    </w:p>
    <w:p>
      <w:pPr>
        <w:pStyle w:val="ListParagraph"/>
        <w:numPr>
          <w:ilvl w:val="0"/>
          <w:numId w:val="1"/>
        </w:numPr>
        <w:spacing w:after="80"/>
      </w:pPr>
      <w:r>
        <w:rPr>
          <w:b/>
          <w:bCs/>
        </w:rPr>
        <w:t xml:space="preserve">A robust understanding of, and connection to, the client community</w:t>
      </w:r>
      <w:r>
        <w:t xml:space="preserve">through community-based offices, organizing, and education, which also identifies systemic problems for impact litigation and policy advocacy.</w:t>
      </w:r>
    </w:p>
    <w:p>
      <w:pPr>
        <w:spacing w:after="160"/>
      </w:pPr>
      <w:r>
        <w:t xml:space="preserve">See Robin Steinberg,</w:t>
      </w:r>
      <w:r>
        <w:rPr>
          <w:i/>
          <w:iCs/>
        </w:rPr>
        <w:t xml:space="preserve">Heeding Gideon's Call in the Twenty-First Century: Holistic Defense and the New Public Defense Paradigm</w:t>
      </w:r>
      <w:r>
        <w:t xml:space="preserve">, 70 Wash. &amp; Lee L. Rev. 961 (2013).</w:t>
      </w:r>
    </w:p>
    <w:p>
      <w:pPr>
        <w:pStyle w:val="Heading2"/>
        <w:spacing w:after="120" w:before="240"/>
      </w:pPr>
      <w:r>
        <w:rPr>
          <w:b/>
          <w:bCs/>
        </w:rPr>
        <w:t xml:space="preserve">Ethical Considerations</w:t>
      </w:r>
    </w:p>
    <w:p>
      <w:pPr>
        <w:pStyle w:val="ListParagraph"/>
        <w:numPr>
          <w:ilvl w:val="0"/>
          <w:numId w:val="1"/>
        </w:numPr>
        <w:spacing w:after="80"/>
      </w:pPr>
      <w:r>
        <w:rPr>
          <w:b/>
          <w:bCs/>
        </w:rPr>
        <w:t xml:space="preserve">Scope and consent.</w:t>
      </w:r>
      <w:r>
        <w:t xml:space="preserve">Civil and family representation should be defined in the engagement and consistent with client objectives. Rules 1.2 and 1.4.</w:t>
      </w:r>
    </w:p>
    <w:p>
      <w:pPr>
        <w:pStyle w:val="ListParagraph"/>
        <w:numPr>
          <w:ilvl w:val="0"/>
          <w:numId w:val="1"/>
        </w:numPr>
        <w:spacing w:after="80"/>
      </w:pPr>
      <w:r>
        <w:rPr>
          <w:b/>
          <w:bCs/>
        </w:rPr>
        <w:t xml:space="preserve">Confidentiality within teams.</w:t>
      </w:r>
      <w:r>
        <w:t xml:space="preserve">Information shared with social workers and non-lawyer advocates must be protected. Rules 1.6 and 5.3. Mandatory reporting obligations of social workers should be addressed in office policy.</w:t>
      </w:r>
    </w:p>
    <w:p>
      <w:pPr>
        <w:pStyle w:val="ListParagraph"/>
        <w:numPr>
          <w:ilvl w:val="0"/>
          <w:numId w:val="1"/>
        </w:numPr>
        <w:spacing w:after="80"/>
      </w:pPr>
      <w:r>
        <w:rPr>
          <w:b/>
          <w:bCs/>
        </w:rPr>
        <w:t xml:space="preserve">Conflicts.</w:t>
      </w:r>
      <w:r>
        <w:t xml:space="preserve">Representing a client in multiple matters, and serving family members, requires conflict screening. Rules 1.7–1.10.</w:t>
      </w:r>
    </w:p>
    <w:p>
      <w:pPr>
        <w:pStyle w:val="ListParagraph"/>
        <w:numPr>
          <w:ilvl w:val="0"/>
          <w:numId w:val="1"/>
        </w:numPr>
        <w:spacing w:after="80"/>
      </w:pPr>
      <w:r>
        <w:rPr>
          <w:b/>
          <w:bCs/>
        </w:rPr>
        <w:t xml:space="preserve">Caseloads.</w:t>
      </w:r>
      <w:r>
        <w:t xml:space="preserve">Excessive workloads can make competent representation impossible. See ABA Formal Op. 06-441 (2006); ABA Ten Principles of a Public Defense Delivery System (2023 revision).</w:t>
      </w:r>
    </w:p>
    <w:p>
      <w:pPr>
        <w:pStyle w:val="Heading2"/>
        <w:spacing w:after="120" w:before="240"/>
      </w:pPr>
      <w:r>
        <w:rPr>
          <w:b/>
          <w:bCs/>
        </w:rPr>
        <w:t xml:space="preserve">Empirical Evidence</w:t>
      </w:r>
    </w:p>
    <w:p>
      <w:pPr>
        <w:spacing w:after="160"/>
      </w:pPr>
      <w:r>
        <w:t xml:space="preserve">James M. Anderson, Maya Buenaventura, and Paul Heaton,</w:t>
      </w:r>
      <w:r>
        <w:rPr>
          <w:i/>
          <w:iCs/>
        </w:rPr>
        <w:t xml:space="preserve">The Effects of Holistic Defense on Criminal Justice Outcomes</w:t>
      </w:r>
      <w:r>
        <w:t xml:space="preserve">, 132 Harv. L. Rev. 819 (2019), used the quasi-random assignment of Bronx cases between The Bronx Defenders and a traditional defender office. The study found no significant difference in conviction rates, but holistic representation reduced the likelihood of a custodial sentence by about 16 percent and expected sentence length by about 24 percent, an estimated savings of more than one million days of custody over ten years.</w:t>
      </w:r>
    </w:p>
    <w:p>
      <w:pPr>
        <w:pStyle w:val="Heading2"/>
        <w:spacing w:after="120" w:before="240"/>
      </w:pPr>
      <w:r>
        <w:rPr>
          <w:b/>
          <w:bCs/>
        </w:rPr>
        <w:t xml:space="preserve">Women, Mothers, and Court Debt: Still She Rises</w:t>
      </w:r>
    </w:p>
    <w:p>
      <w:pPr>
        <w:spacing w:after="160"/>
      </w:pPr>
      <w:r>
        <w:t xml:space="preserve">Still She Rises, founded in Tulsa, Oklahoma, applies holistic defense exclusively to women, particularly mothers, in a state with one of the nation's highest rates of women's incarceration. Issues include child welfare involvement triggered by arrest and detention, disparate treatment of women charged alongside men, and accumulated fines, fees, and costs that can follow defendants for decades. Constitutional limits on incarceration for inability to pay include</w:t>
      </w:r>
      <w:r>
        <w:rPr>
          <w:i/>
          <w:iCs/>
        </w:rPr>
        <w:t xml:space="preserve">Bearden v. Georgia</w:t>
      </w:r>
      <w:r>
        <w:t xml:space="preserve">, 461 U.S. 660 (1983), and</w:t>
      </w:r>
      <w:r>
        <w:rPr>
          <w:i/>
          <w:iCs/>
        </w:rPr>
        <w:t xml:space="preserve">Tate v. Short</w:t>
      </w:r>
      <w:r>
        <w:t xml:space="preserve">, 401 U.S. 395 (1971).</w:t>
      </w:r>
    </w:p>
    <w:p>
      <w:pPr>
        <w:pStyle w:val="Heading2"/>
        <w:spacing w:after="120" w:before="240"/>
      </w:pPr>
      <w:r>
        <w:rPr>
          <w:b/>
          <w:bCs/>
        </w:rPr>
        <w:t xml:space="preserve">Developments to Know</w:t>
      </w:r>
    </w:p>
    <w:p>
      <w:pPr>
        <w:pStyle w:val="ListParagraph"/>
        <w:numPr>
          <w:ilvl w:val="0"/>
          <w:numId w:val="1"/>
        </w:numPr>
        <w:spacing w:after="80"/>
      </w:pPr>
      <w:r>
        <w:rPr>
          <w:b/>
          <w:bCs/>
        </w:rPr>
        <w:t xml:space="preserve">Civil right to counsel in eviction.</w:t>
      </w:r>
      <w:r>
        <w:t xml:space="preserve">New York City enacted the first universal access to counsel law for tenants facing eviction (Local Law 136 of 2017). Other cities and several states, including Washington, Maryland, Connecticut, and Minnesota, have adopted right-to-counsel programs for tenants.</w:t>
      </w:r>
    </w:p>
    <w:p>
      <w:pPr>
        <w:pStyle w:val="ListParagraph"/>
        <w:numPr>
          <w:ilvl w:val="0"/>
          <w:numId w:val="1"/>
        </w:numPr>
        <w:spacing w:after="80"/>
      </w:pPr>
      <w:r>
        <w:rPr>
          <w:b/>
          <w:bCs/>
        </w:rPr>
        <w:t xml:space="preserve">&lt;em&gt;Timbs v. Indiana&lt;/em&gt;, 586 U.S. 146 (2019).</w:t>
      </w:r>
      <w:r>
        <w:t xml:space="preserve">The Excessive Fines Clause of the Eighth Amendment is incorporated against the states. States and localities have reexamined fines, fees, and driver's license suspensions for nonpayment.</w:t>
      </w:r>
    </w:p>
    <w:p>
      <w:pPr>
        <w:pStyle w:val="ListParagraph"/>
        <w:numPr>
          <w:ilvl w:val="0"/>
          <w:numId w:val="1"/>
        </w:numPr>
        <w:spacing w:after="80"/>
      </w:pPr>
      <w:r>
        <w:rPr>
          <w:b/>
          <w:bCs/>
        </w:rPr>
        <w:t xml:space="preserve">New York criminal justice reform.</w:t>
      </w:r>
      <w:r>
        <w:t xml:space="preserve">2019 legislation eliminated money bail for most misdemeanors and nonviolent felonies, expanded discovery (CPL Article 245), and tightened speedy-trial enforcement (CPL 30.30). The laws have been amended several times since, including changes to bail eligibility and to discovery compliance, amid continuing debate over their effects.</w:t>
      </w:r>
    </w:p>
    <w:p>
      <w:pPr>
        <w:pStyle w:val="ListParagraph"/>
        <w:numPr>
          <w:ilvl w:val="0"/>
          <w:numId w:val="1"/>
        </w:numPr>
        <w:spacing w:after="80"/>
      </w:pPr>
      <w:r>
        <w:rPr>
          <w:b/>
          <w:bCs/>
        </w:rPr>
        <w:t xml:space="preserve">Immigration consequences.</w:t>
      </w:r>
      <w:r>
        <w:t xml:space="preserve">Increased immigration enforcement has heightened the importance of</w:t>
      </w:r>
      <w:r>
        <w:rPr>
          <w:i/>
          <w:iCs/>
        </w:rPr>
        <w:t xml:space="preserve">Padilla</w:t>
      </w:r>
      <w:r>
        <w:t xml:space="preserve">advisements and of coordination between criminal and immigration counsel.</w:t>
      </w:r>
    </w:p>
    <w:p>
      <w:pPr>
        <w:pStyle w:val="ListParagraph"/>
        <w:numPr>
          <w:ilvl w:val="0"/>
          <w:numId w:val="1"/>
        </w:numPr>
        <w:spacing w:after="80"/>
      </w:pPr>
      <w:r>
        <w:rPr>
          <w:b/>
          <w:bCs/>
        </w:rPr>
        <w:t xml:space="preserve">Spread of the model.</w:t>
      </w:r>
      <w:r>
        <w:t xml:space="preserve">Holistic and interdisciplinary practices, including in-house social workers and civil legal teams, have been adopted by public defender offices across the country. The Bronx Defenders' Center for Holistic Defense trains offices nationally.</w:t>
      </w:r>
    </w:p>
    <w:p>
      <w:pPr>
        <w:pStyle w:val="ListParagraph"/>
        <w:numPr>
          <w:ilvl w:val="0"/>
          <w:numId w:val="1"/>
        </w:numPr>
        <w:spacing w:after="80"/>
      </w:pPr>
      <w:r>
        <w:rPr>
          <w:b/>
          <w:bCs/>
        </w:rPr>
        <w:t xml:space="preserve">Cash bail and bail funds.</w:t>
      </w:r>
      <w:r>
        <w:t xml:space="preserve">Executive Order 14342 (Aug. 25, 2025) directs federal agencies to identify jurisdictions that have substantially eliminated cash bail and to suspend or terminate federal funding to them. Several states, including Texas, Indiana, Georgia, and Kentucky, have restricted charitable bail funds; Georgia's SB 63 (2024) limits the number of cash bonds non-bondsmen may post and has been challenged in court.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2026-09-28T18:12:34.074Z</dcterms:created>
  <dcterms:modified xsi:type="dcterms:W3CDTF">2026-09-28T18:12:34.074Z</dcterms:modified>
</cp:coreProperties>
</file>

<file path=docProps/custom.xml><?xml version="1.0" encoding="utf-8"?>
<Properties xmlns="http://schemas.openxmlformats.org/officeDocument/2006/custom-properties" xmlns:vt="http://schemas.openxmlformats.org/officeDocument/2006/docPropsVTypes"/>
</file>