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Lawyers with Bias</w:t>
      </w:r>
    </w:p>
    <w:p>
      <w:pPr>
        <w:spacing w:after="200"/>
      </w:pPr>
      <w:r>
        <w:rPr>
          <w:rFonts w:ascii="Montserrat" w:cs="Montserrat" w:eastAsia="Montserrat" w:hAnsi="Montserrat"/>
          <w:b/>
          <w:bCs/>
          <w:color w:val="E87722"/>
          <w:sz w:val="24"/>
          <w:szCs w:val="24"/>
        </w:rPr>
        <w:t xml:space="preserve">Paulette Brown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implicit bias and its effects in the legal profession and the justice system. It defines implicit and confirmation bias, surveys how bias can affect hiring, work allocation, evaluations, and advancement in law firms, and discusses charging, transfer, and sentencing decisions in criminal cases, as well as law school admissions and accreditation. It reviews ABA initiatives including Resolution 113, the Model Diversity Survey, and Model Rule 8.4(g), and practical strategies to reduce the influence of bias on professional decisions. It closes with legal and empirical developments since 2016.</w:t>
      </w:r>
    </w:p>
    <w:p>
      <w:pPr>
        <w:pStyle w:val="Heading2"/>
        <w:spacing w:after="120" w:before="240"/>
      </w:pPr>
      <w:r>
        <w:rPr>
          <w:b/>
          <w:bCs/>
        </w:rPr>
        <w:t xml:space="preserve">Learning Objectives</w:t>
      </w:r>
    </w:p>
    <w:p>
      <w:pPr>
        <w:pStyle w:val="ListParagraph"/>
        <w:numPr>
          <w:ilvl w:val="0"/>
          <w:numId w:val="1"/>
        </w:numPr>
        <w:spacing w:after="80"/>
      </w:pPr>
      <w:r>
        <w:t xml:space="preserve">Define implicit bias, confirmation bias, "maternal wall" bias, and leniency bias, and recognize how each can affect professional judgment.</w:t>
      </w:r>
    </w:p>
    <w:p>
      <w:pPr>
        <w:pStyle w:val="ListParagraph"/>
        <w:numPr>
          <w:ilvl w:val="0"/>
          <w:numId w:val="1"/>
        </w:numPr>
        <w:spacing w:after="80"/>
      </w:pPr>
      <w:r>
        <w:t xml:space="preserve">Identify points in law firm practice (recruiting, staffing, feedback, evaluation, and compensation) where bias can influence outcomes.</w:t>
      </w:r>
    </w:p>
    <w:p>
      <w:pPr>
        <w:pStyle w:val="ListParagraph"/>
        <w:numPr>
          <w:ilvl w:val="0"/>
          <w:numId w:val="1"/>
        </w:numPr>
        <w:spacing w:after="80"/>
      </w:pPr>
      <w:r>
        <w:t xml:space="preserve">Describe how discretion in charging, juvenile transfer, and sentencing can produce disparities.</w:t>
      </w:r>
    </w:p>
    <w:p>
      <w:pPr>
        <w:pStyle w:val="ListParagraph"/>
        <w:numPr>
          <w:ilvl w:val="0"/>
          <w:numId w:val="1"/>
        </w:numPr>
        <w:spacing w:after="80"/>
      </w:pPr>
      <w:r>
        <w:t xml:space="preserve">Explain the ethical rules governing bias and discrimination by lawyers and judges.</w:t>
      </w:r>
    </w:p>
    <w:p>
      <w:pPr>
        <w:pStyle w:val="ListParagraph"/>
        <w:numPr>
          <w:ilvl w:val="0"/>
          <w:numId w:val="1"/>
        </w:numPr>
        <w:spacing w:after="80"/>
      </w:pPr>
      <w:r>
        <w:t xml:space="preserve">Apply practical strategies to reduce the effect of bias, and evaluate the evidence on bias testing and training.</w:t>
      </w:r>
    </w:p>
    <w:p>
      <w:pPr>
        <w:pStyle w:val="Heading2"/>
        <w:spacing w:after="120" w:before="240"/>
      </w:pPr>
      <w:r>
        <w:rPr>
          <w:b/>
          <w:bCs/>
        </w:rPr>
        <w:t xml:space="preserve">Understanding Implicit Bias</w:t>
      </w:r>
    </w:p>
    <w:p>
      <w:pPr>
        <w:spacing w:after="160"/>
      </w:pPr>
      <w:r>
        <w:t xml:space="preserve">Implicit bias refers to attitudes or stereotypes that affect understanding, actions, and decisions without conscious awareness. Such associations develop through exposure to cultural messages, media, and personal experience, and they can diverge from a person's consciously held beliefs. Related phenomena include:</w:t>
      </w:r>
    </w:p>
    <w:p>
      <w:pPr>
        <w:pStyle w:val="ListParagraph"/>
        <w:numPr>
          <w:ilvl w:val="0"/>
          <w:numId w:val="1"/>
        </w:numPr>
        <w:spacing w:after="80"/>
      </w:pPr>
      <w:r>
        <w:rPr>
          <w:b/>
          <w:bCs/>
        </w:rPr>
        <w:t xml:space="preserve">Confirmation bias:</w:t>
      </w:r>
      <w:r>
        <w:t xml:space="preserve">the tendency to seek, notice, and credit information that confirms existing beliefs.</w:t>
      </w:r>
    </w:p>
    <w:p>
      <w:pPr>
        <w:pStyle w:val="ListParagraph"/>
        <w:numPr>
          <w:ilvl w:val="0"/>
          <w:numId w:val="1"/>
        </w:numPr>
        <w:spacing w:after="80"/>
      </w:pPr>
      <w:r>
        <w:rPr>
          <w:b/>
          <w:bCs/>
        </w:rPr>
        <w:t xml:space="preserve">In-group favoritism (affinity bias):</w:t>
      </w:r>
      <w:r>
        <w:t xml:space="preserve">gravitating toward, mentoring, and trusting people perceived as similar.</w:t>
      </w:r>
    </w:p>
    <w:p>
      <w:pPr>
        <w:pStyle w:val="ListParagraph"/>
        <w:numPr>
          <w:ilvl w:val="0"/>
          <w:numId w:val="1"/>
        </w:numPr>
        <w:spacing w:after="80"/>
      </w:pPr>
      <w:r>
        <w:rPr>
          <w:b/>
          <w:bCs/>
        </w:rPr>
        <w:t xml:space="preserve">Maternal wall bias:</w:t>
      </w:r>
      <w:r>
        <w:t xml:space="preserve">assumptions that mothers, or women generally, are less committed or available.</w:t>
      </w:r>
    </w:p>
    <w:p>
      <w:pPr>
        <w:pStyle w:val="ListParagraph"/>
        <w:numPr>
          <w:ilvl w:val="0"/>
          <w:numId w:val="1"/>
        </w:numPr>
        <w:spacing w:after="80"/>
      </w:pPr>
      <w:r>
        <w:rPr>
          <w:b/>
          <w:bCs/>
        </w:rPr>
        <w:t xml:space="preserve">Leniency bias:</w:t>
      </w:r>
      <w:r>
        <w:t xml:space="preserve">withholding candid criticism, often from members of underrepresented groups, which denies them the feedback needed to improve.</w:t>
      </w:r>
    </w:p>
    <w:p>
      <w:pPr>
        <w:spacing w:after="160"/>
      </w:pPr>
      <w:r>
        <w:t xml:space="preserve">The Implicit Association Test (IAT), developed by Anthony Greenwald, Mahzarin Banaji, and Brian Nosek, measures response latencies in pairing concepts. It is widely used as an educational tool. See Anthony G. Greenwald &amp; Linda Hamilton Krieger,</w:t>
      </w:r>
      <w:r>
        <w:rPr>
          <w:i/>
          <w:iCs/>
        </w:rPr>
        <w:t xml:space="preserve">Implicit Bias: Scientific Foundations</w:t>
      </w:r>
      <w:r>
        <w:t xml:space="preserve">, 94 Cal. L. Rev. 945 (2006); Jerry Kang et al.,</w:t>
      </w:r>
      <w:r>
        <w:rPr>
          <w:i/>
          <w:iCs/>
        </w:rPr>
        <w:t xml:space="preserve">Implicit Bias in the Courtroom</w:t>
      </w:r>
      <w:r>
        <w:t xml:space="preserve">, 59 UCLA L. Rev. 1124 (2012).</w:t>
      </w:r>
    </w:p>
    <w:p>
      <w:pPr>
        <w:pStyle w:val="Heading2"/>
        <w:spacing w:after="120" w:before="240"/>
      </w:pPr>
      <w:r>
        <w:rPr>
          <w:b/>
          <w:bCs/>
        </w:rPr>
        <w:t xml:space="preserve">Bias in Law Firm Practice</w:t>
      </w:r>
    </w:p>
    <w:p>
      <w:pPr>
        <w:pStyle w:val="ListParagraph"/>
        <w:numPr>
          <w:ilvl w:val="0"/>
          <w:numId w:val="1"/>
        </w:numPr>
        <w:spacing w:after="80"/>
      </w:pPr>
      <w:r>
        <w:rPr>
          <w:b/>
          <w:bCs/>
        </w:rPr>
        <w:t xml:space="preserve">Recruiting.</w:t>
      </w:r>
      <w:r>
        <w:t xml:space="preserve">Interview questions and criteria that presume access to professional networks, such as "What lawyer influenced you?", can disadvantage first-generation candidates.</w:t>
      </w:r>
    </w:p>
    <w:p>
      <w:pPr>
        <w:pStyle w:val="ListParagraph"/>
        <w:numPr>
          <w:ilvl w:val="0"/>
          <w:numId w:val="1"/>
        </w:numPr>
        <w:spacing w:after="80"/>
      </w:pPr>
      <w:r>
        <w:rPr>
          <w:b/>
          <w:bCs/>
        </w:rPr>
        <w:t xml:space="preserve">Staffing and feedback.</w:t>
      </w:r>
      <w:r>
        <w:t xml:space="preserve">Supervisors are more likely to give direct corrective feedback to lawyers they identify with. Others may be quietly removed from matters, reducing development opportunities and billable work.</w:t>
      </w:r>
    </w:p>
    <w:p>
      <w:pPr>
        <w:pStyle w:val="ListParagraph"/>
        <w:numPr>
          <w:ilvl w:val="0"/>
          <w:numId w:val="1"/>
        </w:numPr>
        <w:spacing w:after="80"/>
      </w:pPr>
      <w:r>
        <w:rPr>
          <w:b/>
          <w:bCs/>
        </w:rPr>
        <w:t xml:space="preserve">Evaluations.</w:t>
      </w:r>
      <w:r>
        <w:t xml:space="preserve">Leniency in written reviews followed by adverse decisions deprives lawyers of notice and the chance to improve.</w:t>
      </w:r>
    </w:p>
    <w:p>
      <w:pPr>
        <w:pStyle w:val="ListParagraph"/>
        <w:numPr>
          <w:ilvl w:val="0"/>
          <w:numId w:val="1"/>
        </w:numPr>
        <w:spacing w:after="80"/>
      </w:pPr>
      <w:r>
        <w:rPr>
          <w:b/>
          <w:bCs/>
        </w:rPr>
        <w:t xml:space="preserve">Parental leave and flexibility.</w:t>
      </w:r>
      <w:r>
        <w:t xml:space="preserve">Assumptions about availability after leave, and scrutiny of nontraditional schedules, affect assignments and advancement.</w:t>
      </w:r>
    </w:p>
    <w:p>
      <w:pPr>
        <w:pStyle w:val="ListParagraph"/>
        <w:numPr>
          <w:ilvl w:val="0"/>
          <w:numId w:val="1"/>
        </w:numPr>
        <w:spacing w:after="80"/>
      </w:pPr>
      <w:r>
        <w:rPr>
          <w:b/>
          <w:bCs/>
        </w:rPr>
        <w:t xml:space="preserve">Inclusion and retention.</w:t>
      </w:r>
      <w:r>
        <w:t xml:space="preserve">Attrition costs firms and clients. Diversity without inclusion produces a revolving door.</w:t>
      </w:r>
    </w:p>
    <w:p>
      <w:pPr>
        <w:pStyle w:val="Heading2"/>
        <w:spacing w:after="120" w:before="240"/>
      </w:pPr>
      <w:r>
        <w:rPr>
          <w:b/>
          <w:bCs/>
        </w:rPr>
        <w:t xml:space="preserve">Client Initiatives: Resolution 113 and the Model Diversity Survey</w:t>
      </w:r>
    </w:p>
    <w:p>
      <w:pPr>
        <w:spacing w:after="160"/>
      </w:pPr>
      <w:r>
        <w:t xml:space="preserve">ABA Resolution 113 (August 2016) urged providers and purchasers of legal services to expand and create opportunities at all levels of responsibility for diverse attorneys, including through the allocation of legal spend. The ABA Model Diversity Survey, launched in 2016, provides a standardized instrument that clients can use to collect data from outside counsel on demographics, hiring, promotion, attrition, and leadership. Client-driven measurement ties diversity and inclusion to business relationships and allows attrition to be tracked over time.</w:t>
      </w:r>
    </w:p>
    <w:p>
      <w:pPr>
        <w:pStyle w:val="Heading2"/>
        <w:spacing w:after="120" w:before="240"/>
      </w:pPr>
      <w:r>
        <w:rPr>
          <w:b/>
          <w:bCs/>
        </w:rPr>
        <w:t xml:space="preserve">Ethical Rules</w:t>
      </w:r>
    </w:p>
    <w:p>
      <w:pPr>
        <w:pStyle w:val="ListParagraph"/>
        <w:numPr>
          <w:ilvl w:val="0"/>
          <w:numId w:val="1"/>
        </w:numPr>
        <w:spacing w:after="80"/>
      </w:pPr>
      <w:r>
        <w:rPr>
          <w:b/>
          <w:bCs/>
        </w:rPr>
        <w:t xml:space="preserve">ABA Model Rule 8.4(g)</w:t>
      </w:r>
      <w:r>
        <w:t xml:space="preserve">(adopted Aug. 2016): professional misconduct includes engaging in conduct the lawyer knows or reasonably should know is harassment or discrimination on the basis of race, sex, religion, national origin, ethnicity, disability, age, sexual orientation, gender identity, marital status, or socioeconomic status in conduct related to the practice of law. The rule does not limit legitimate advocacy or a lawyer's ability to accept, decline, or withdraw from a representation under Rule 1.16. See ABA Formal Op. 493 (2020) (explaining the rule's scope).</w:t>
      </w:r>
    </w:p>
    <w:p>
      <w:pPr>
        <w:pStyle w:val="ListParagraph"/>
        <w:numPr>
          <w:ilvl w:val="0"/>
          <w:numId w:val="1"/>
        </w:numPr>
        <w:spacing w:after="80"/>
      </w:pPr>
      <w:r>
        <w:rPr>
          <w:b/>
          <w:bCs/>
        </w:rPr>
        <w:t xml:space="preserve">Model Code of Judicial Conduct Rule 2.3:</w:t>
      </w:r>
      <w:r>
        <w:t xml:space="preserve">judges must perform duties without bias or prejudice and require lawyers in proceedings before them to refrain from manifesting bias.</w:t>
      </w:r>
    </w:p>
    <w:p>
      <w:pPr>
        <w:pStyle w:val="ListParagraph"/>
        <w:numPr>
          <w:ilvl w:val="0"/>
          <w:numId w:val="1"/>
        </w:numPr>
        <w:spacing w:after="80"/>
      </w:pPr>
      <w:r>
        <w:rPr>
          <w:b/>
          <w:bCs/>
        </w:rPr>
        <w:t xml:space="preserve">ABA Criminal Justice Standards for the Prosecution Function</w:t>
      </w:r>
      <w:r>
        <w:t xml:space="preserve">(4th ed. 2017), Standard 3-1.6: prosecutors should not manifest or exercise bias and should strive to eliminate implicit biases in the exercise of discretion.</w:t>
      </w:r>
    </w:p>
    <w:p>
      <w:pPr>
        <w:pStyle w:val="Heading2"/>
        <w:spacing w:after="120" w:before="240"/>
      </w:pPr>
      <w:r>
        <w:rPr>
          <w:b/>
          <w:bCs/>
        </w:rPr>
        <w:t xml:space="preserve">Bias in the Criminal Justice System</w:t>
      </w:r>
    </w:p>
    <w:p>
      <w:pPr>
        <w:spacing w:after="160"/>
      </w:pPr>
      <w:r>
        <w:t xml:space="preserve">Prosecutorial charging decisions frequently determine the range of available sentences, particularly where mandatory minimums or charge-based guidelines apply. Transfer of juveniles to adult court and sentencing outcomes have shown disparities by race and geography. Reviewing one's own charging and sentencing data is a practical, low-cost way for prosecutors and judges to identify patterns. In jury selection, the Equal Protection Clause prohibits race- and sex-based peremptory strikes.</w:t>
      </w:r>
      <w:r>
        <w:rPr>
          <w:i/>
          <w:iCs/>
        </w:rPr>
        <w:t xml:space="preserve">Batson v. Kentucky</w:t>
      </w:r>
      <w:r>
        <w:t xml:space="preserve">, 476 U.S. 79 (1986);</w:t>
      </w:r>
      <w:r>
        <w:rPr>
          <w:i/>
          <w:iCs/>
        </w:rPr>
        <w:t xml:space="preserve">J.E.B. v. Alabama ex rel. T.B.</w:t>
      </w:r>
      <w:r>
        <w:t xml:space="preserve">, 511 U.S. 127 (1994);</w:t>
      </w:r>
      <w:r>
        <w:rPr>
          <w:i/>
          <w:iCs/>
        </w:rPr>
        <w:t xml:space="preserve">Flowers v. Mississippi</w:t>
      </w:r>
      <w:r>
        <w:t xml:space="preserve">, 588 U.S. 284 (2019). Some states have adopted reforms aimed at implicit as well as intentional bias.</w:t>
      </w:r>
    </w:p>
    <w:p>
      <w:pPr>
        <w:pStyle w:val="Heading2"/>
        <w:spacing w:after="120" w:before="240"/>
      </w:pPr>
      <w:r>
        <w:rPr>
          <w:b/>
          <w:bCs/>
        </w:rPr>
        <w:t xml:space="preserve">Law School Admissions and Accreditation</w:t>
      </w:r>
    </w:p>
    <w:p>
      <w:pPr>
        <w:spacing w:after="160"/>
      </w:pPr>
      <w:r>
        <w:t xml:space="preserve">Heavy reliance on standardized test scores and rankings pressure can narrow access to law school. Accreditation standards on bar passage, now ABA Standard 316, which requires that 75 percent of a school's graduates who take a bar exam pass within two years, have drawn concern because of their potential effect on historically Black law schools and others that serve underrepresented students. The ABA Council adopted the current version of Standard 316 in 2019 after the House of Delegates twice declined to concur.</w:t>
      </w:r>
    </w:p>
    <w:p>
      <w:pPr>
        <w:pStyle w:val="Heading2"/>
        <w:spacing w:after="120" w:before="240"/>
      </w:pPr>
      <w:r>
        <w:rPr>
          <w:b/>
          <w:bCs/>
        </w:rPr>
        <w:t xml:space="preserve">Strategies</w:t>
      </w:r>
    </w:p>
    <w:p>
      <w:pPr>
        <w:pStyle w:val="ListParagraph"/>
        <w:numPr>
          <w:ilvl w:val="0"/>
          <w:numId w:val="1"/>
        </w:numPr>
        <w:spacing w:after="80"/>
      </w:pPr>
      <w:r>
        <w:t xml:space="preserve">Increase self-awareness, for example through the IAT, while recognizing its limits for individual prediction.</w:t>
      </w:r>
    </w:p>
    <w:p>
      <w:pPr>
        <w:pStyle w:val="ListParagraph"/>
        <w:numPr>
          <w:ilvl w:val="0"/>
          <w:numId w:val="1"/>
        </w:numPr>
        <w:spacing w:after="80"/>
      </w:pPr>
      <w:r>
        <w:t xml:space="preserve">Use structured interviews and consistent, job-related evaluation criteria.</w:t>
      </w:r>
    </w:p>
    <w:p>
      <w:pPr>
        <w:pStyle w:val="ListParagraph"/>
        <w:numPr>
          <w:ilvl w:val="0"/>
          <w:numId w:val="1"/>
        </w:numPr>
        <w:spacing w:after="80"/>
      </w:pPr>
      <w:r>
        <w:t xml:space="preserve">Track and review data on assignments, reviews, promotions, charges, and sentences.</w:t>
      </w:r>
    </w:p>
    <w:p>
      <w:pPr>
        <w:pStyle w:val="ListParagraph"/>
        <w:numPr>
          <w:ilvl w:val="0"/>
          <w:numId w:val="1"/>
        </w:numPr>
        <w:spacing w:after="80"/>
      </w:pPr>
      <w:r>
        <w:t xml:space="preserve">Give timely, candid feedback to all lawyers.</w:t>
      </w:r>
    </w:p>
    <w:p>
      <w:pPr>
        <w:pStyle w:val="ListParagraph"/>
        <w:numPr>
          <w:ilvl w:val="0"/>
          <w:numId w:val="1"/>
        </w:numPr>
        <w:spacing w:after="80"/>
      </w:pPr>
      <w:r>
        <w:t xml:space="preserve">Ask rather than assume, for example about a returning parent's preferences.</w:t>
      </w:r>
    </w:p>
    <w:p>
      <w:pPr>
        <w:pStyle w:val="ListParagraph"/>
        <w:numPr>
          <w:ilvl w:val="0"/>
          <w:numId w:val="1"/>
        </w:numPr>
        <w:spacing w:after="80"/>
      </w:pPr>
      <w:r>
        <w:t xml:space="preserve">Broaden professional and personal networks, and act as a mentor and sponsor.</w:t>
      </w:r>
    </w:p>
    <w:p>
      <w:pPr>
        <w:pStyle w:val="Heading2"/>
        <w:spacing w:after="120" w:before="240"/>
      </w:pPr>
      <w:r>
        <w:rPr>
          <w:b/>
          <w:bCs/>
        </w:rPr>
        <w:t xml:space="preserve">Developments to Know</w:t>
      </w:r>
    </w:p>
    <w:p>
      <w:pPr>
        <w:pStyle w:val="ListParagraph"/>
        <w:numPr>
          <w:ilvl w:val="0"/>
          <w:numId w:val="1"/>
        </w:numPr>
        <w:spacing w:after="80"/>
      </w:pPr>
      <w:r>
        <w:rPr>
          <w:b/>
          <w:bCs/>
        </w:rPr>
        <w:t xml:space="preserve">Bias-related CLE.</w:t>
      </w:r>
      <w:r>
        <w:t xml:space="preserve">California requires implicit bias training as part of lawyers' elimination-of-bias CLE requirement (Cal. Bus. &amp; Prof. Code § 6070.5). New York requires one credit hour per cycle in Diversity, Inclusion and Elimination of Bias (22 NYCRR Part 1500), and other states have similar requirements.</w:t>
      </w:r>
    </w:p>
    <w:p>
      <w:pPr>
        <w:pStyle w:val="ListParagraph"/>
        <w:numPr>
          <w:ilvl w:val="0"/>
          <w:numId w:val="1"/>
        </w:numPr>
        <w:spacing w:after="80"/>
      </w:pPr>
      <w:r>
        <w:rPr>
          <w:b/>
          <w:bCs/>
        </w:rPr>
        <w:t xml:space="preserve">Jury selection reforms.</w:t>
      </w:r>
      <w:r>
        <w:t xml:space="preserve">Washington General Rule 37 (2018) directs courts to deny a peremptory strike if an objective observer, aware that implicit, institutional, and unconscious biases have resulted in unfair exclusion, could view race or ethnicity as a factor. California enacted a similar framework (Cal. Code Civ. Proc. § 231.7, 2020). Arizona eliminated peremptory challenges effective 2022.</w:t>
      </w:r>
    </w:p>
    <w:p>
      <w:pPr>
        <w:pStyle w:val="ListParagraph"/>
        <w:numPr>
          <w:ilvl w:val="0"/>
          <w:numId w:val="1"/>
        </w:numPr>
        <w:spacing w:after="80"/>
      </w:pPr>
      <w:r>
        <w:rPr>
          <w:b/>
          <w:bCs/>
        </w:rPr>
        <w:t xml:space="preserve">Model Rule 8.4(g) in the states.</w:t>
      </w:r>
      <w:r>
        <w:t xml:space="preserve">Adoption has been uneven, and some state versions have been challenged on First Amendment grounds. See</w:t>
      </w:r>
      <w:r>
        <w:rPr>
          <w:i/>
          <w:iCs/>
        </w:rPr>
        <w:t xml:space="preserve">Greenberg v. Lehocky</w:t>
      </w:r>
      <w:r>
        <w:t xml:space="preserve">, 81 F.4th 376 (3d Cir. 2023) (dismissing a challenge to Pennsylvania's rule for lack of standing).</w:t>
      </w:r>
    </w:p>
    <w:p>
      <w:pPr>
        <w:pStyle w:val="ListParagraph"/>
        <w:numPr>
          <w:ilvl w:val="0"/>
          <w:numId w:val="1"/>
        </w:numPr>
        <w:spacing w:after="80"/>
      </w:pPr>
      <w:r>
        <w:rPr>
          <w:b/>
          <w:bCs/>
        </w:rPr>
        <w:t xml:space="preserve">Legal limits on diversity programs.</w:t>
      </w:r>
      <w:r>
        <w:rPr>
          <w:i/>
          <w:iCs/>
        </w:rPr>
        <w:t xml:space="preserve">Students for Fair Admissions, Inc. v. President &amp; Fellows of Harvard College</w:t>
      </w:r>
      <w:r>
        <w:t xml:space="preserve">, 600 U.S. 181 (2023), barred race-conscious admissions. In 2025, federal agencies and executive orders targeted private-sector DEI programs, including at law firms, and the ABA suspended enforcement of accreditation Standard 206 on law school diversity in 2025 and repealed it on September 8, 2026. Texas and Florida have since ended exclusive reliance on ABA accreditation, and the Department of Education is reviewing the ABA's recognition as an accreditor. Programs that allocate opportunities by race or sex face risk under Title VII and 42 U.S.C. § 1981, while race-neutral practices such as mentoring open to all, structured evaluation, and bias-awareness education remain widely used.</w:t>
      </w:r>
    </w:p>
    <w:p>
      <w:pPr>
        <w:pStyle w:val="ListParagraph"/>
        <w:numPr>
          <w:ilvl w:val="0"/>
          <w:numId w:val="1"/>
        </w:numPr>
        <w:spacing w:after="80"/>
      </w:pPr>
      <w:r>
        <w:rPr>
          <w:b/>
          <w:bCs/>
        </w:rPr>
        <w:t xml:space="preserve">Empirical debate.</w:t>
      </w:r>
      <w:r>
        <w:t xml:space="preserve">Meta-analyses have questioned how well IAT scores predict individual behavior and whether changes in implicit measures produce changes in conduct. See Frederick L. Oswald et al., 105 J. Personality &amp; Soc. Psych. 171 (2013); Patrick S. Forscher et al., 117 J. Personality &amp; Soc. Psych. 522 (2019). Many researchers now emphasize structural safeguards over one-time awareness training.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2026-09-28T18:12:33.715Z</dcterms:created>
  <dcterms:modified xsi:type="dcterms:W3CDTF">2026-09-28T18:12:33.715Z</dcterms:modified>
</cp:coreProperties>
</file>

<file path=docProps/custom.xml><?xml version="1.0" encoding="utf-8"?>
<Properties xmlns="http://schemas.openxmlformats.org/officeDocument/2006/custom-properties" xmlns:vt="http://schemas.openxmlformats.org/officeDocument/2006/docPropsVTypes"/>
</file>