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Used Car Battles</w:t>
      </w:r>
    </w:p>
    <w:p>
      <w:pPr>
        <w:spacing w:after="200"/>
      </w:pPr>
      <w:r>
        <w:rPr>
          <w:rFonts w:ascii="Montserrat" w:cs="Montserrat" w:eastAsia="Montserrat" w:hAnsi="Montserrat"/>
          <w:b/>
          <w:bCs/>
          <w:color w:val="E87722"/>
          <w:sz w:val="24"/>
          <w:szCs w:val="24"/>
        </w:rPr>
        <w:t xml:space="preserve">Steve Lehto</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law governing used car sales and the remedies available to buyers. Topics include implied warranties and "as-is" disclaimers under Article 2 of the Uniform Commercial Code, the FTC Used Car Rule, puffery versus actionable misrepresentation, integration clauses, fraud and concealment, the warranty of title, federal and state odometer laws, the Magnuson-Moss Warranty Act, curbstoning and title skipping, online and interstate purchases, certified pre-owned programs, service contracts, and state used car warranty statutes. It closes with practical advice for counseling buyers.</w:t>
      </w:r>
    </w:p>
    <w:p>
      <w:pPr>
        <w:pStyle w:val="Heading2"/>
        <w:spacing w:after="120" w:before="240"/>
      </w:pPr>
      <w:r>
        <w:rPr>
          <w:b/>
          <w:bCs/>
        </w:rPr>
        <w:t xml:space="preserve">Learning Objectives</w:t>
      </w:r>
    </w:p>
    <w:p>
      <w:pPr>
        <w:pStyle w:val="ListParagraph"/>
        <w:numPr>
          <w:ilvl w:val="0"/>
          <w:numId w:val="1"/>
        </w:numPr>
        <w:spacing w:after="80"/>
      </w:pPr>
      <w:r>
        <w:t xml:space="preserve">Explain how implied warranties arise and how they may be excluded in a used car sale.</w:t>
      </w:r>
    </w:p>
    <w:p>
      <w:pPr>
        <w:pStyle w:val="ListParagraph"/>
        <w:numPr>
          <w:ilvl w:val="0"/>
          <w:numId w:val="1"/>
        </w:numPr>
        <w:spacing w:after="80"/>
      </w:pPr>
      <w:r>
        <w:t xml:space="preserve">Distinguish non-actionable puffery from actionable misrepresentation and fraudulent concealment.</w:t>
      </w:r>
    </w:p>
    <w:p>
      <w:pPr>
        <w:pStyle w:val="ListParagraph"/>
        <w:numPr>
          <w:ilvl w:val="0"/>
          <w:numId w:val="1"/>
        </w:numPr>
        <w:spacing w:after="80"/>
      </w:pPr>
      <w:r>
        <w:t xml:space="preserve">Identify protections that survive an "as-is" sale, including warranty of title, odometer law, and fraud.</w:t>
      </w:r>
    </w:p>
    <w:p>
      <w:pPr>
        <w:pStyle w:val="ListParagraph"/>
        <w:numPr>
          <w:ilvl w:val="0"/>
          <w:numId w:val="1"/>
        </w:numPr>
        <w:spacing w:after="80"/>
      </w:pPr>
      <w:r>
        <w:t xml:space="preserve">Apply the FTC Used Car Rule and the Magnuson-Moss Warranty Act's limits on disclaimers.</w:t>
      </w:r>
    </w:p>
    <w:p>
      <w:pPr>
        <w:pStyle w:val="ListParagraph"/>
        <w:numPr>
          <w:ilvl w:val="0"/>
          <w:numId w:val="1"/>
        </w:numPr>
        <w:spacing w:after="80"/>
      </w:pPr>
      <w:r>
        <w:t xml:space="preserve">Recognize curbstoning, title skipping, and other red flags, and advise clients on due diligence.</w:t>
      </w:r>
    </w:p>
    <w:p>
      <w:pPr>
        <w:pStyle w:val="Heading2"/>
        <w:spacing w:after="120" w:before="240"/>
      </w:pPr>
      <w:r>
        <w:rPr>
          <w:b/>
          <w:bCs/>
        </w:rPr>
        <w:t xml:space="preserve">Implied Warranties and "As-Is" Sales</w:t>
      </w:r>
    </w:p>
    <w:p>
      <w:pPr>
        <w:spacing w:after="160"/>
      </w:pPr>
      <w:r>
        <w:t xml:space="preserve">A warranty of merchantability is implied in a contract for the sale of goods "if the seller is a merchant with respect to goods of that kind." U.C.C. § 2-314(1). For a vehicle, merchantability generally means fitness for the ordinary purpose of safe, reliable transportation. § 2-314(2)(c). Private sellers who are not in the business of selling cars do not give this warranty. Implied warranties may be excluded by expressions such as "as is" or "with all faults" that make plain there is no implied warranty. § 2-316(3)(a). Exclusion is also subject to consumer protection statutes and, for dealers, to the FTC Used Car Rule.</w:t>
      </w:r>
    </w:p>
    <w:p>
      <w:pPr>
        <w:pStyle w:val="Heading2"/>
        <w:spacing w:after="120" w:before="240"/>
      </w:pPr>
      <w:r>
        <w:rPr>
          <w:b/>
          <w:bCs/>
        </w:rPr>
        <w:t xml:space="preserve">The FTC Used Car Rule</w:t>
      </w:r>
    </w:p>
    <w:p>
      <w:pPr>
        <w:spacing w:after="160"/>
      </w:pPr>
      <w:r>
        <w:t xml:space="preserve">Dealers who sell more than five used vehicles in a 12-month period must display a Buyers Guide on each used vehicle offered for sale. 16 C.F.R. Part 455. The Guide discloses whether the vehicle is sold "As Is — No Dealer Warranty" or with a dealer warranty (full or limited, with covered systems and duration), identifies major defects to watch for, and advises buyers to obtain an independent inspection and check for recalls. The final version of the Guide is incorporated into the sales contract and overrides any contrary contract provision. 16 C.F.R. § 455.3(b). The revised Rule took effect January 28, 2017, and dealers had to use the new Buyers Guides by January 28, 2018; the changes include a Spanish-language option and references to recall and history checks.</w:t>
      </w:r>
    </w:p>
    <w:p>
      <w:pPr>
        <w:pStyle w:val="Heading2"/>
        <w:spacing w:after="120" w:before="240"/>
      </w:pPr>
      <w:r>
        <w:rPr>
          <w:b/>
          <w:bCs/>
        </w:rPr>
        <w:t xml:space="preserve">Puffery, Integration, and Misrepresentation</w:t>
      </w:r>
    </w:p>
    <w:p>
      <w:pPr>
        <w:pStyle w:val="ListParagraph"/>
        <w:numPr>
          <w:ilvl w:val="0"/>
          <w:numId w:val="1"/>
        </w:numPr>
        <w:spacing w:after="80"/>
      </w:pPr>
      <w:r>
        <w:rPr>
          <w:b/>
          <w:bCs/>
        </w:rPr>
        <w:t xml:space="preserve">Puffery.</w:t>
      </w:r>
      <w:r>
        <w:t xml:space="preserve">Subjective statements such as "great car" or "runs well" are generally not actionable as express warranties or fraud. See U.C.C. § 2-313(2) ("a statement purporting to be merely the seller's opinion or commendation of the goods does not create a warranty").</w:t>
      </w:r>
    </w:p>
    <w:p>
      <w:pPr>
        <w:pStyle w:val="ListParagraph"/>
        <w:numPr>
          <w:ilvl w:val="0"/>
          <w:numId w:val="1"/>
        </w:numPr>
        <w:spacing w:after="80"/>
      </w:pPr>
      <w:r>
        <w:rPr>
          <w:b/>
          <w:bCs/>
        </w:rPr>
        <w:t xml:space="preserve">Express warranties.</w:t>
      </w:r>
      <w:r>
        <w:t xml:space="preserve">Affirmations of fact that become part of the basis of the bargain create express warranties, § 2-313(1), and cannot be disclaimed by inconsistent language. § 2-316(1).</w:t>
      </w:r>
    </w:p>
    <w:p>
      <w:pPr>
        <w:pStyle w:val="ListParagraph"/>
        <w:numPr>
          <w:ilvl w:val="0"/>
          <w:numId w:val="1"/>
        </w:numPr>
        <w:spacing w:after="80"/>
      </w:pPr>
      <w:r>
        <w:rPr>
          <w:b/>
          <w:bCs/>
        </w:rPr>
        <w:t xml:space="preserve">Integration.</w:t>
      </w:r>
      <w:r>
        <w:t xml:space="preserve">A final written agreement may not be contradicted by prior agreements or contemporaneous oral agreements. § 2-202. Non-reliance and merger clauses do not bar claims of fraud in many jurisdictions, but they can make fraud harder to prove.</w:t>
      </w:r>
    </w:p>
    <w:p>
      <w:pPr>
        <w:pStyle w:val="ListParagraph"/>
        <w:numPr>
          <w:ilvl w:val="0"/>
          <w:numId w:val="1"/>
        </w:numPr>
        <w:spacing w:after="80"/>
      </w:pPr>
      <w:r>
        <w:rPr>
          <w:b/>
          <w:bCs/>
        </w:rPr>
        <w:t xml:space="preserve">Fraud and concealment.</w:t>
      </w:r>
      <w:r>
        <w:t xml:space="preserve">Objective, verifiable misstatements, such as model year, number of prior owners, prior rental use, or accident history, and active concealment of known defects are actionable despite an as-is clause. State unfair and deceptive practices statutes often provide statutory damages, multiple damages, and attorney's fees.</w:t>
      </w:r>
    </w:p>
    <w:p>
      <w:pPr>
        <w:pStyle w:val="Heading2"/>
        <w:spacing w:after="120" w:before="240"/>
      </w:pPr>
      <w:r>
        <w:rPr>
          <w:b/>
          <w:bCs/>
        </w:rPr>
        <w:t xml:space="preserve">Protections That Survive "As-Is"</w:t>
      </w:r>
    </w:p>
    <w:p>
      <w:pPr>
        <w:pStyle w:val="Heading3"/>
        <w:spacing w:after="120" w:before="240"/>
      </w:pPr>
      <w:r>
        <w:rPr>
          <w:b/>
          <w:bCs/>
        </w:rPr>
        <w:t xml:space="preserve">Warranty of Title</w:t>
      </w:r>
    </w:p>
    <w:p>
      <w:pPr>
        <w:spacing w:after="160"/>
      </w:pPr>
      <w:r>
        <w:t xml:space="preserve">A seller warrants that the title conveyed is good and its transfer rightful, free of undisclosed security interests. U.C.C. § 2-312(1). This warranty is not excluded by an "as-is" disclaimer. It can be excluded only by specific language or by circumstances giving the buyer reason to know the seller does not claim title. § 2-312(2). A buyer whose car is recovered as stolen property generally has a claim against the seller.</w:t>
      </w:r>
    </w:p>
    <w:p>
      <w:pPr>
        <w:pStyle w:val="Heading3"/>
        <w:spacing w:after="120" w:before="240"/>
      </w:pPr>
      <w:r>
        <w:rPr>
          <w:b/>
          <w:bCs/>
        </w:rPr>
        <w:t xml:space="preserve">Odometer Law</w:t>
      </w:r>
    </w:p>
    <w:p>
      <w:pPr>
        <w:spacing w:after="160"/>
      </w:pPr>
      <w:r>
        <w:t xml:space="preserve">The federal Odometer Act, 49 U.S.C. §§ 32701–32711, prohibits disconnecting, resetting, or altering odometers and requires written mileage disclosure on transfer. 49 C.F.R. Part 580. A person who violates the Act with intent to defraud is liable for three times actual damages or $10,000, whichever is greater, plus attorney's fees. 49 U.S.C. § 32710. NHTSA's 2019 rule permitted electronic odometer disclosure and extended the disclosure requirement to 20 years for model year 2011 and newer vehicles, with the longer period taking effect January 1, 2021.</w:t>
      </w:r>
    </w:p>
    <w:p>
      <w:pPr>
        <w:pStyle w:val="Heading2"/>
        <w:spacing w:after="120" w:before="240"/>
      </w:pPr>
      <w:r>
        <w:rPr>
          <w:b/>
          <w:bCs/>
        </w:rPr>
        <w:t xml:space="preserve">The Magnuson-Moss Warranty Act and Used Cars</w:t>
      </w:r>
    </w:p>
    <w:p>
      <w:pPr>
        <w:pStyle w:val="ListParagraph"/>
        <w:numPr>
          <w:ilvl w:val="0"/>
          <w:numId w:val="1"/>
        </w:numPr>
        <w:spacing w:after="80"/>
      </w:pPr>
      <w:r>
        <w:rPr>
          <w:b/>
          <w:bCs/>
        </w:rPr>
        <w:t xml:space="preserve">Remaining manufacturer's warranty.</w:t>
      </w:r>
      <w:r>
        <w:t xml:space="preserve">A used vehicle still covered by a transferable manufacturer's warranty remains a warranted consumer product, and the buyer may sue for breach of written or implied warranty. 15 U.S.C. § 2310(d).</w:t>
      </w:r>
    </w:p>
    <w:p>
      <w:pPr>
        <w:pStyle w:val="ListParagraph"/>
        <w:numPr>
          <w:ilvl w:val="0"/>
          <w:numId w:val="1"/>
        </w:numPr>
        <w:spacing w:after="80"/>
      </w:pPr>
      <w:r>
        <w:rPr>
          <w:b/>
          <w:bCs/>
        </w:rPr>
        <w:t xml:space="preserve">Limits on disclaimers.</w:t>
      </w:r>
      <w:r>
        <w:t xml:space="preserve">A supplier may not disclaim implied warranties if it makes a written warranty or, at the time of sale or within 90 days thereafter, enters into a service contract with the consumer covering the product. 15 U.S.C. § 2308(a).</w:t>
      </w:r>
    </w:p>
    <w:p>
      <w:pPr>
        <w:pStyle w:val="ListParagraph"/>
        <w:numPr>
          <w:ilvl w:val="0"/>
          <w:numId w:val="1"/>
        </w:numPr>
        <w:spacing w:after="80"/>
      </w:pPr>
      <w:r>
        <w:rPr>
          <w:b/>
          <w:bCs/>
        </w:rPr>
        <w:t xml:space="preserve">Service contracts.</w:t>
      </w:r>
      <w:r>
        <w:t xml:space="preserve">Service contracts, often marketed as "extended warranties," must fully and conspicuously disclose their terms. § 2306. Coverage limitations, such as powertrain-only or "internally lubricated parts" provisions, should be reviewed closely.</w:t>
      </w:r>
    </w:p>
    <w:p>
      <w:pPr>
        <w:pStyle w:val="Heading2"/>
        <w:spacing w:after="120" w:before="240"/>
      </w:pPr>
      <w:r>
        <w:rPr>
          <w:b/>
          <w:bCs/>
        </w:rPr>
        <w:t xml:space="preserve">Curbstoning and Title Skipping</w:t>
      </w:r>
    </w:p>
    <w:p>
      <w:pPr>
        <w:spacing w:after="160"/>
      </w:pPr>
      <w:r>
        <w:t xml:space="preserve">States require a dealer license for persons who sell more than a small number of vehicles in a year. Unlicensed dealers who pose as private sellers ("curbstoners") evade dealer obligations such as Buyers Guides, licensing bonds, and implied warranty rules. "Title skipping" or "title jumping," reselling a vehicle without titling it in the reseller's name, is generally prohibited for individuals and conceals the chain of ownership. Buyers should confirm that the title is in the seller's name and matches the VIN on the vehicle.</w:t>
      </w:r>
    </w:p>
    <w:p>
      <w:pPr>
        <w:pStyle w:val="Heading2"/>
        <w:spacing w:after="120" w:before="240"/>
      </w:pPr>
      <w:r>
        <w:rPr>
          <w:b/>
          <w:bCs/>
        </w:rPr>
        <w:t xml:space="preserve">Online and Interstate Purchases</w:t>
      </w:r>
    </w:p>
    <w:p>
      <w:pPr>
        <w:spacing w:after="160"/>
      </w:pPr>
      <w:r>
        <w:t xml:space="preserve">Remote purchases increase the risks of misdescription and substitution, as well as the practical cost of enforcement. Suing an out-of-state seller may require personal jurisdiction in the seller's state or litigation there. Platform buyer-protection programs are contractual and subject to exclusions and claim deadlines. Buyers should arrange an independent pre-purchase inspection, verify the VIN, and document the vehicle's condition on delivery.</w:t>
      </w:r>
    </w:p>
    <w:p>
      <w:pPr>
        <w:pStyle w:val="Heading2"/>
        <w:spacing w:after="120" w:before="240"/>
      </w:pPr>
      <w:r>
        <w:rPr>
          <w:b/>
          <w:bCs/>
        </w:rPr>
        <w:t xml:space="preserve">Certified Pre-Owned Vehicles</w:t>
      </w:r>
    </w:p>
    <w:p>
      <w:pPr>
        <w:spacing w:after="160"/>
      </w:pPr>
      <w:r>
        <w:t xml:space="preserve">"Certified pre-owned" is a manufacturer or dealer marketing program, not a legal category. The vehicle is used, although it usually carries extended warranty coverage. Advertising claims about CPO inspections are subject to section 5 of the FTC Act, 15 U.S.C. § 45. In 2016–2017 the FTC entered consent orders with General Motors, CarMax, and several dealer groups over advertisements touting rigorous inspections of used cars that had open safety recalls. In most states, CPO vehicles are not covered by new-car lemon laws.</w:t>
      </w:r>
    </w:p>
    <w:p>
      <w:pPr>
        <w:pStyle w:val="Heading2"/>
        <w:spacing w:after="120" w:before="240"/>
      </w:pPr>
      <w:r>
        <w:rPr>
          <w:b/>
          <w:bCs/>
        </w:rPr>
        <w:t xml:space="preserve">State Used Car Warranty and Inspection Laws</w:t>
      </w:r>
    </w:p>
    <w:p>
      <w:pPr>
        <w:spacing w:after="160"/>
      </w:pPr>
      <w:r>
        <w:t xml:space="preserve">Several states require dealers to provide limited warranties on many used vehicles, based on price, age, or mileage. Examples include N.Y. Gen. Bus. Law § 198-b, Mass. Gen. Laws ch. 90, § 7N¼, and Minn. Stat. § 325F.662. Some states prohibit or restrict as-is sales by dealers. Others require that vehicles pass a safety inspection at sale or give buyers rights if a vehicle fails a required inspection shortly after purchase.</w:t>
      </w:r>
    </w:p>
    <w:p>
      <w:pPr>
        <w:pStyle w:val="Heading2"/>
        <w:spacing w:after="120" w:before="240"/>
      </w:pPr>
      <w:r>
        <w:rPr>
          <w:b/>
          <w:bCs/>
        </w:rPr>
        <w:t xml:space="preserve">Counseling Checklist</w:t>
      </w:r>
    </w:p>
    <w:p>
      <w:pPr>
        <w:pStyle w:val="ListParagraph"/>
        <w:numPr>
          <w:ilvl w:val="0"/>
          <w:numId w:val="1"/>
        </w:numPr>
        <w:spacing w:after="80"/>
      </w:pPr>
      <w:r>
        <w:t xml:space="preserve">Bring a companion as a witness.</w:t>
      </w:r>
    </w:p>
    <w:p>
      <w:pPr>
        <w:pStyle w:val="ListParagraph"/>
        <w:numPr>
          <w:ilvl w:val="0"/>
          <w:numId w:val="1"/>
        </w:numPr>
        <w:spacing w:after="80"/>
      </w:pPr>
      <w:r>
        <w:t xml:space="preserve">Obtain an independent pre-purchase inspection, and walk away if the seller refuses.</w:t>
      </w:r>
    </w:p>
    <w:p>
      <w:pPr>
        <w:pStyle w:val="ListParagraph"/>
        <w:numPr>
          <w:ilvl w:val="0"/>
          <w:numId w:val="1"/>
        </w:numPr>
        <w:spacing w:after="80"/>
      </w:pPr>
      <w:r>
        <w:t xml:space="preserve">Obtain a vehicle history report and search NMVTIS and NHTSA's recall database by VIN.</w:t>
      </w:r>
    </w:p>
    <w:p>
      <w:pPr>
        <w:pStyle w:val="ListParagraph"/>
        <w:numPr>
          <w:ilvl w:val="0"/>
          <w:numId w:val="1"/>
        </w:numPr>
        <w:spacing w:after="80"/>
      </w:pPr>
      <w:r>
        <w:t xml:space="preserve">Confirm the title is in the seller's name, and check for liens and salvage or flood brands.</w:t>
      </w:r>
    </w:p>
    <w:p>
      <w:pPr>
        <w:pStyle w:val="ListParagraph"/>
        <w:numPr>
          <w:ilvl w:val="0"/>
          <w:numId w:val="1"/>
        </w:numPr>
        <w:spacing w:after="80"/>
      </w:pPr>
      <w:r>
        <w:t xml:space="preserve">Read every page of the Buyers Guide, purchase agreement, arbitration clause, and any service contract.</w:t>
      </w:r>
    </w:p>
    <w:p>
      <w:pPr>
        <w:pStyle w:val="ListParagraph"/>
        <w:numPr>
          <w:ilvl w:val="0"/>
          <w:numId w:val="1"/>
        </w:numPr>
        <w:spacing w:after="80"/>
      </w:pPr>
      <w:r>
        <w:t xml:space="preserve">Keep copies of all documents, advertisements, and listing photos.</w:t>
      </w:r>
    </w:p>
    <w:p>
      <w:pPr>
        <w:pStyle w:val="Heading2"/>
        <w:spacing w:after="120" w:before="240"/>
      </w:pPr>
      <w:r>
        <w:rPr>
          <w:b/>
          <w:bCs/>
        </w:rPr>
        <w:t xml:space="preserve">Developments to Know</w:t>
      </w:r>
    </w:p>
    <w:p>
      <w:pPr>
        <w:pStyle w:val="ListParagraph"/>
        <w:numPr>
          <w:ilvl w:val="0"/>
          <w:numId w:val="1"/>
        </w:numPr>
        <w:spacing w:after="80"/>
      </w:pPr>
      <w:r>
        <w:rPr>
          <w:b/>
          <w:bCs/>
        </w:rPr>
        <w:t xml:space="preserve">FTC CARS Rule.</w:t>
      </w:r>
      <w:r>
        <w:t xml:space="preserve">The FTC's Combating Auto Retail Scams Rule (Dec. 2023), which addressed misleading pricing, undisclosed add-on fees, and consent to charges, was vacated by the Fifth Circuit in January 2025 for failure to follow required rulemaking procedures. The FTC continues to bring deceptive-practice cases under section 5, and in 2026 it sent pricing warning letters to 97 dealer groups. Several states have adopted similar requirements. California's CARS Act (SB 766), effective October 1, 2026, gives buyers of used cars priced at $50,000 or less a three-day right to return with a capped restocking fee, bans add-ons of no value, and requires dealers to disclose the full price.</w:t>
      </w:r>
    </w:p>
    <w:p>
      <w:pPr>
        <w:pStyle w:val="ListParagraph"/>
        <w:numPr>
          <w:ilvl w:val="0"/>
          <w:numId w:val="1"/>
        </w:numPr>
        <w:spacing w:after="80"/>
      </w:pPr>
      <w:r>
        <w:rPr>
          <w:b/>
          <w:bCs/>
        </w:rPr>
        <w:t xml:space="preserve">Online retailers.</w:t>
      </w:r>
      <w:r>
        <w:t xml:space="preserve">Growth in online used car sales has brought state enforcement over delayed titles and registrations, alongside consumer-friendly features such as return periods.</w:t>
      </w:r>
    </w:p>
    <w:p>
      <w:pPr>
        <w:pStyle w:val="ListParagraph"/>
        <w:numPr>
          <w:ilvl w:val="0"/>
          <w:numId w:val="1"/>
        </w:numPr>
        <w:spacing w:after="80"/>
      </w:pPr>
      <w:r>
        <w:rPr>
          <w:b/>
          <w:bCs/>
        </w:rPr>
        <w:t xml:space="preserve">California lemon law.</w:t>
      </w:r>
      <w:r>
        <w:rPr>
          <w:i/>
          <w:iCs/>
        </w:rPr>
        <w:t xml:space="preserve">Rodriguez v. FCA US, LLC</w:t>
      </w:r>
      <w:r>
        <w:t xml:space="preserve">(Cal. Oct. 31, 2024) held that a used vehicle sold with an unexpired manufacturer's warranty is generally not a "new motor vehicle" under the Song-Beverly Act. Buyers of such vehicles must rely on the warranty itself, Magnuson-Moss, and other claims.</w:t>
      </w:r>
    </w:p>
    <w:p>
      <w:pPr>
        <w:pStyle w:val="ListParagraph"/>
        <w:numPr>
          <w:ilvl w:val="0"/>
          <w:numId w:val="1"/>
        </w:numPr>
        <w:spacing w:after="80"/>
      </w:pPr>
      <w:r>
        <w:rPr>
          <w:b/>
          <w:bCs/>
        </w:rPr>
        <w:t xml:space="preserve">Data tools.</w:t>
      </w:r>
      <w:r>
        <w:t xml:space="preserve">The National Motor Vehicle Title Information System (NMVTIS), created under the Anti-Car Theft Act of 1992, and NHTSA's VIN-based recall lookup give buyers inexpensive access to title brands and open recalls.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2026-09-28T18:12:33.410Z</dcterms:created>
  <dcterms:modified xsi:type="dcterms:W3CDTF">2026-09-28T18:12:33.410Z</dcterms:modified>
</cp:coreProperties>
</file>

<file path=docProps/custom.xml><?xml version="1.0" encoding="utf-8"?>
<Properties xmlns="http://schemas.openxmlformats.org/officeDocument/2006/custom-properties" xmlns:vt="http://schemas.openxmlformats.org/officeDocument/2006/docPropsVTypes"/>
</file>