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Dud Cars and Lemon Laws</w:t>
      </w:r>
    </w:p>
    <w:p>
      <w:pPr>
        <w:spacing w:after="200"/>
      </w:pPr>
      <w:r>
        <w:rPr>
          <w:rFonts w:ascii="Montserrat" w:cs="Montserrat" w:eastAsia="Montserrat" w:hAnsi="Montserrat"/>
          <w:b/>
          <w:bCs/>
          <w:color w:val="E87722"/>
          <w:sz w:val="24"/>
          <w:szCs w:val="24"/>
        </w:rPr>
        <w:t xml:space="preserve">Steve Lehto</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consumer remedies for defective new motor vehicles under state lemon laws, using Michigan's statute as the primary model and California's Song-Beverly Act as a comparison, and for defective consumer products generally under the federal Magnuson-Moss Warranty Act. Topics include the definition of a qualifying defect, the repair-attempt and days-out-of-service tests, notice requirements, refund and replacement remedies, use offsets, fee shifting, documentation, covered and excluded vehicles, and recent developments in arbitration and litigation reform.</w:t>
      </w:r>
    </w:p>
    <w:p>
      <w:pPr>
        <w:pStyle w:val="Heading2"/>
        <w:spacing w:after="120" w:before="240"/>
      </w:pPr>
      <w:r>
        <w:rPr>
          <w:b/>
          <w:bCs/>
        </w:rPr>
        <w:t xml:space="preserve">Learning Objectives</w:t>
      </w:r>
    </w:p>
    <w:p>
      <w:pPr>
        <w:pStyle w:val="ListParagraph"/>
        <w:numPr>
          <w:ilvl w:val="0"/>
          <w:numId w:val="1"/>
        </w:numPr>
        <w:spacing w:after="80"/>
      </w:pPr>
      <w:r>
        <w:t xml:space="preserve">Identify the elements of a lemon law claim, including substantial defect, reasonable number of repair attempts, and days out of service.</w:t>
      </w:r>
    </w:p>
    <w:p>
      <w:pPr>
        <w:pStyle w:val="ListParagraph"/>
        <w:numPr>
          <w:ilvl w:val="0"/>
          <w:numId w:val="1"/>
        </w:numPr>
        <w:spacing w:after="80"/>
      </w:pPr>
      <w:r>
        <w:t xml:space="preserve">Describe notice requirements and the role of the manufacturer, as distinct from the dealer.</w:t>
      </w:r>
    </w:p>
    <w:p>
      <w:pPr>
        <w:pStyle w:val="ListParagraph"/>
        <w:numPr>
          <w:ilvl w:val="0"/>
          <w:numId w:val="1"/>
        </w:numPr>
        <w:spacing w:after="80"/>
      </w:pPr>
      <w:r>
        <w:t xml:space="preserve">Calculate the general structure of refund and replacement remedies, including use offsets and incidental damages.</w:t>
      </w:r>
    </w:p>
    <w:p>
      <w:pPr>
        <w:pStyle w:val="ListParagraph"/>
        <w:numPr>
          <w:ilvl w:val="0"/>
          <w:numId w:val="1"/>
        </w:numPr>
        <w:spacing w:after="80"/>
      </w:pPr>
      <w:r>
        <w:t xml:space="preserve">Explain fee shifting under state lemon laws and the Magnuson-Moss Warranty Act.</w:t>
      </w:r>
    </w:p>
    <w:p>
      <w:pPr>
        <w:pStyle w:val="ListParagraph"/>
        <w:numPr>
          <w:ilvl w:val="0"/>
          <w:numId w:val="1"/>
        </w:numPr>
        <w:spacing w:after="80"/>
      </w:pPr>
      <w:r>
        <w:t xml:space="preserve">Advise clients on documentation and maintenance records, and on coverage for leased, financed, commercial, and non-automobile products.</w:t>
      </w:r>
    </w:p>
    <w:p>
      <w:pPr>
        <w:pStyle w:val="Heading2"/>
        <w:spacing w:after="120" w:before="240"/>
      </w:pPr>
      <w:r>
        <w:rPr>
          <w:b/>
          <w:bCs/>
        </w:rPr>
        <w:t xml:space="preserve">State Lemon Laws: The Basic Structure</w:t>
      </w:r>
    </w:p>
    <w:p>
      <w:pPr>
        <w:spacing w:after="160"/>
      </w:pPr>
      <w:r>
        <w:t xml:space="preserve">Every state has a new motor vehicle lemon law. Although the details vary, most follow a common pattern: if a manufacturer or its authorized dealer cannot conform a new vehicle to the express warranty after a reasonable number of attempts, the manufacturer must replace the vehicle or refund the purchase price, less an allowance for use. Most statutes create a presumption that a reasonable number of attempts has been made when, within a defined period:</w:t>
      </w:r>
    </w:p>
    <w:p>
      <w:pPr>
        <w:pStyle w:val="ListParagraph"/>
        <w:numPr>
          <w:ilvl w:val="0"/>
          <w:numId w:val="1"/>
        </w:numPr>
        <w:spacing w:after="80"/>
      </w:pPr>
      <w:r>
        <w:t xml:space="preserve">the same nonconformity has been subject to repair four or more times;</w:t>
      </w:r>
    </w:p>
    <w:p>
      <w:pPr>
        <w:pStyle w:val="ListParagraph"/>
        <w:numPr>
          <w:ilvl w:val="0"/>
          <w:numId w:val="1"/>
        </w:numPr>
        <w:spacing w:after="80"/>
      </w:pPr>
      <w:r>
        <w:t xml:space="preserve">the vehicle has been out of service for repairs for a cumulative total of 30 or more days (some states use shorter periods); or</w:t>
      </w:r>
    </w:p>
    <w:p>
      <w:pPr>
        <w:pStyle w:val="ListParagraph"/>
        <w:numPr>
          <w:ilvl w:val="0"/>
          <w:numId w:val="1"/>
        </w:numPr>
        <w:spacing w:after="80"/>
      </w:pPr>
      <w:r>
        <w:t xml:space="preserve">in some states, a defect likely to cause death or serious bodily injury has been subject to repair two or more times.</w:t>
      </w:r>
    </w:p>
    <w:p>
      <w:pPr>
        <w:pStyle w:val="Heading3"/>
        <w:spacing w:after="120" w:before="240"/>
      </w:pPr>
      <w:r>
        <w:rPr>
          <w:b/>
          <w:bCs/>
        </w:rPr>
        <w:t xml:space="preserve">Michigan</w:t>
      </w:r>
    </w:p>
    <w:p>
      <w:pPr>
        <w:spacing w:after="160"/>
      </w:pPr>
      <w:r>
        <w:t xml:space="preserve">Michigan's New Motor Vehicle Warranties Act, Mich. Comp. Laws §§ 257.1401–.1410, covers new passenger motor vehicles, including passenger vans, pickup trucks, and SUVs, purchased or leased for personal, family, or household use (as well as by businesses that buy or lease fewer than 10 new vehicles a year), and excludes motor homes, buses, most trucks other than pickups and vans, and vehicles with fewer than four wheels. A defect or condition must "substantially impair" the use or value of the vehicle. The presumption arises if the defect is first reported within the warranty term or one year from delivery, whichever is earlier, and is then subject to four or more repair attempts within two years of the first attempt, or if the vehicle is out of service for 30 or more days during that warranty-or-one-year period. The consumer must give the manufacturer written notice by return-receipt service after the third repair attempt, and the manufacturer then has five business days to make a final repair attempt. The use allowance is prorated against an assumed 100,000-mile vehicle life based on mileage at the first report of the defect. A prevailing consumer may recover reasonable attorney's fees and costs.</w:t>
      </w:r>
    </w:p>
    <w:p>
      <w:pPr>
        <w:pStyle w:val="Heading3"/>
        <w:spacing w:after="120" w:before="240"/>
      </w:pPr>
      <w:r>
        <w:rPr>
          <w:b/>
          <w:bCs/>
        </w:rPr>
        <w:t xml:space="preserve">California</w:t>
      </w:r>
    </w:p>
    <w:p>
      <w:pPr>
        <w:spacing w:after="160"/>
      </w:pPr>
      <w:r>
        <w:t xml:space="preserve">California's Song-Beverly Consumer Warranty Act, Cal. Civ. Code § 1790 et seq., requires replacement or restitution when a manufacturer cannot conform a vehicle after a reasonable number of attempts. § 1793.2(d)(2). The Tanner Act presumption, § 1793.22(b), applies within 18 months or 18,000 miles, using two attempts for defects likely to cause death or serious bodily injury, four attempts for other defects, or more than 30 days out of service. Willful violations support a civil penalty of up to twice actual damages, § 1794(c), and prevailing buyers recover fees and costs, § 1794(d).</w:t>
      </w:r>
    </w:p>
    <w:p>
      <w:pPr>
        <w:pStyle w:val="Heading2"/>
        <w:spacing w:after="120" w:before="240"/>
      </w:pPr>
      <w:r>
        <w:rPr>
          <w:b/>
          <w:bCs/>
        </w:rPr>
        <w:t xml:space="preserve">Substantial Impairment and "Same Defect or Condition"</w:t>
      </w:r>
    </w:p>
    <w:p>
      <w:pPr>
        <w:spacing w:after="160"/>
      </w:pPr>
      <w:r>
        <w:t xml:space="preserve">Courts generally construe lemon laws liberally as remedial consumer statutes. A single symptom that persists through repairs of different components is typically treated as the same nonconformity. Substantial impairment is judged by the defect's effect on the vehicle's use, market value, or safety. A practical proxy is whether a reasonable buyer would pay less for, or refuse to buy, a vehicle with the defect. A repair visit generally counts even if the dealer reports "could not duplicate," because the statutes require only that the vehicle be presented for repair of the reported defect.</w:t>
      </w:r>
    </w:p>
    <w:p>
      <w:pPr>
        <w:pStyle w:val="Heading2"/>
        <w:spacing w:after="120" w:before="240"/>
      </w:pPr>
      <w:r>
        <w:rPr>
          <w:b/>
          <w:bCs/>
        </w:rPr>
        <w:t xml:space="preserve">Notice and the Final Repair Opportunity</w:t>
      </w:r>
    </w:p>
    <w:p>
      <w:pPr>
        <w:spacing w:after="160"/>
      </w:pPr>
      <w:r>
        <w:t xml:space="preserve">Many states require direct written notice to the manufacturer, not only the dealer, and a final opportunity to repair before the consumer may invoke the statutory remedy. Dealers are independent franchisees, and notice allows the manufacturer to send field engineers. Failure to comply with a statutory notice requirement can bar or delay a claim.</w:t>
      </w:r>
    </w:p>
    <w:p>
      <w:pPr>
        <w:pStyle w:val="Heading2"/>
        <w:spacing w:after="120" w:before="240"/>
      </w:pPr>
      <w:r>
        <w:rPr>
          <w:b/>
          <w:bCs/>
        </w:rPr>
        <w:t xml:space="preserve">Remedies</w:t>
      </w:r>
    </w:p>
    <w:p>
      <w:pPr>
        <w:pStyle w:val="ListParagraph"/>
        <w:numPr>
          <w:ilvl w:val="0"/>
          <w:numId w:val="1"/>
        </w:numPr>
        <w:spacing w:after="80"/>
      </w:pPr>
      <w:r>
        <w:rPr>
          <w:b/>
          <w:bCs/>
        </w:rPr>
        <w:t xml:space="preserve">Refund or replacement</w:t>
      </w:r>
      <w:r>
        <w:t xml:space="preserve">at the consumer's election in most states, including collateral charges such as taxes, title, and registration, and incidental damages such as towing and rental costs, less a reasonable use allowance.</w:t>
      </w:r>
    </w:p>
    <w:p>
      <w:pPr>
        <w:pStyle w:val="ListParagraph"/>
        <w:numPr>
          <w:ilvl w:val="0"/>
          <w:numId w:val="1"/>
        </w:numPr>
        <w:spacing w:after="80"/>
      </w:pPr>
      <w:r>
        <w:rPr>
          <w:b/>
          <w:bCs/>
        </w:rPr>
        <w:t xml:space="preserve">Leased and financed vehicles.</w:t>
      </w:r>
      <w:r>
        <w:t xml:space="preserve">Most statutes now cover leases and require lienholders and lessors to cooperate in unwinding the transaction. Manufacturer rebates are generally not refunded.</w:t>
      </w:r>
    </w:p>
    <w:p>
      <w:pPr>
        <w:pStyle w:val="ListParagraph"/>
        <w:numPr>
          <w:ilvl w:val="0"/>
          <w:numId w:val="1"/>
        </w:numPr>
        <w:spacing w:after="80"/>
      </w:pPr>
      <w:r>
        <w:rPr>
          <w:b/>
          <w:bCs/>
        </w:rPr>
        <w:t xml:space="preserve">Exclusions.</w:t>
      </w:r>
      <w:r>
        <w:t xml:space="preserve">Statutes typically deny relief when the nonconformity results from abuse, neglect, or unauthorized modification. Consumers should keep maintenance records whether service is performed by a dealer, an independent shop, or the owner.</w:t>
      </w:r>
    </w:p>
    <w:p>
      <w:pPr>
        <w:pStyle w:val="ListParagraph"/>
        <w:numPr>
          <w:ilvl w:val="0"/>
          <w:numId w:val="1"/>
        </w:numPr>
        <w:spacing w:after="80"/>
      </w:pPr>
      <w:r>
        <w:rPr>
          <w:b/>
          <w:bCs/>
        </w:rPr>
        <w:t xml:space="preserve">No general damages.</w:t>
      </w:r>
      <w:r>
        <w:t xml:space="preserve">Lemon laws do not provide for pain and suffering or inconvenience, although other causes of action (breach of warranty, consumer protection statutes, and product liability) may be available.</w:t>
      </w:r>
    </w:p>
    <w:p>
      <w:pPr>
        <w:pStyle w:val="Heading2"/>
        <w:spacing w:after="120" w:before="240"/>
      </w:pPr>
      <w:r>
        <w:rPr>
          <w:b/>
          <w:bCs/>
        </w:rPr>
        <w:t xml:space="preserve">Fee Shifting</w:t>
      </w:r>
    </w:p>
    <w:p>
      <w:pPr>
        <w:spacing w:after="160"/>
      </w:pPr>
      <w:r>
        <w:t xml:space="preserve">Lemon laws and the Magnuson-Moss Warranty Act authorize an award of attorney's fees and costs to a prevailing consumer. Courts typically apply the lodestar method, and fee awards may exceed the value of the vehicle when the manufacturer litigates through trial. Fee shifting is what makes representation on contingency or at no cost to the consumer economically viable. See 15 U.S.C. § 2310(d)(2).</w:t>
      </w:r>
    </w:p>
    <w:p>
      <w:pPr>
        <w:pStyle w:val="Heading2"/>
        <w:spacing w:after="120" w:before="240"/>
      </w:pPr>
      <w:r>
        <w:rPr>
          <w:b/>
          <w:bCs/>
        </w:rPr>
        <w:t xml:space="preserve">Documentation</w:t>
      </w:r>
    </w:p>
    <w:p>
      <w:pPr>
        <w:pStyle w:val="ListParagraph"/>
        <w:numPr>
          <w:ilvl w:val="0"/>
          <w:numId w:val="1"/>
        </w:numPr>
        <w:spacing w:after="80"/>
      </w:pPr>
      <w:r>
        <w:t xml:space="preserve">The purchase or lease agreement, including VIN, price, date, and parties.</w:t>
      </w:r>
    </w:p>
    <w:p>
      <w:pPr>
        <w:pStyle w:val="ListParagraph"/>
        <w:numPr>
          <w:ilvl w:val="0"/>
          <w:numId w:val="1"/>
        </w:numPr>
        <w:spacing w:after="80"/>
      </w:pPr>
      <w:r>
        <w:t xml:space="preserve">Repair orders for every visit, including warranty visits and "no problem found" visits.</w:t>
      </w:r>
    </w:p>
    <w:p>
      <w:pPr>
        <w:pStyle w:val="ListParagraph"/>
        <w:numPr>
          <w:ilvl w:val="0"/>
          <w:numId w:val="1"/>
        </w:numPr>
        <w:spacing w:after="80"/>
      </w:pPr>
      <w:r>
        <w:t xml:space="preserve">Written notice to the manufacturer and proof of delivery.</w:t>
      </w:r>
    </w:p>
    <w:p>
      <w:pPr>
        <w:pStyle w:val="ListParagraph"/>
        <w:numPr>
          <w:ilvl w:val="0"/>
          <w:numId w:val="1"/>
        </w:numPr>
        <w:spacing w:after="80"/>
      </w:pPr>
      <w:r>
        <w:t xml:space="preserve">Maintenance receipts.</w:t>
      </w:r>
    </w:p>
    <w:p>
      <w:pPr>
        <w:pStyle w:val="ListParagraph"/>
        <w:numPr>
          <w:ilvl w:val="0"/>
          <w:numId w:val="1"/>
        </w:numPr>
        <w:spacing w:after="80"/>
      </w:pPr>
      <w:r>
        <w:t xml:space="preserve">Where safe, photographs or video of intermittent defects.</w:t>
      </w:r>
    </w:p>
    <w:p>
      <w:pPr>
        <w:pStyle w:val="Heading2"/>
        <w:spacing w:after="120" w:before="240"/>
      </w:pPr>
      <w:r>
        <w:rPr>
          <w:b/>
          <w:bCs/>
        </w:rPr>
        <w:t xml:space="preserve">The Magnuson-Moss Warranty Act</w:t>
      </w:r>
    </w:p>
    <w:p>
      <w:pPr>
        <w:spacing w:after="160"/>
      </w:pPr>
      <w:r>
        <w:t xml:space="preserve">The Magnuson-Moss Warranty Act, 15 U.S.C. §§ 2301–2312, applies to consumer products sold with a written warranty, including vehicles and products outside state lemon laws such as RVs, motorcycles, boats, and appliances. Key provisions:</w:t>
      </w:r>
    </w:p>
    <w:p>
      <w:pPr>
        <w:pStyle w:val="ListParagraph"/>
        <w:numPr>
          <w:ilvl w:val="0"/>
          <w:numId w:val="1"/>
        </w:numPr>
        <w:spacing w:after="80"/>
      </w:pPr>
      <w:r>
        <w:rPr>
          <w:b/>
          <w:bCs/>
        </w:rPr>
        <w:t xml:space="preserve">Full versus limited warranties.</w:t>
      </w:r>
      <w:r>
        <w:t xml:space="preserve">A warranty designated "full" must meet federal minimum standards, including refund or replacement, at the consumer's election, if the product cannot be repaired after a reasonable number of attempts. § 2304(a)(4). Most vehicle warranties are designated "limited," so the remedy is an action for breach of the written warranty and of implied warranties under state law.</w:t>
      </w:r>
    </w:p>
    <w:p>
      <w:pPr>
        <w:pStyle w:val="ListParagraph"/>
        <w:numPr>
          <w:ilvl w:val="0"/>
          <w:numId w:val="1"/>
        </w:numPr>
        <w:spacing w:after="80"/>
      </w:pPr>
      <w:r>
        <w:rPr>
          <w:b/>
          <w:bCs/>
        </w:rPr>
        <w:t xml:space="preserve">Implied warranties.</w:t>
      </w:r>
      <w:r>
        <w:t xml:space="preserve">A supplier that gives a written warranty may not disclaim implied warranties, though a limited warranty may limit their duration to that of the written warranty. § 2308.</w:t>
      </w:r>
    </w:p>
    <w:p>
      <w:pPr>
        <w:pStyle w:val="ListParagraph"/>
        <w:numPr>
          <w:ilvl w:val="0"/>
          <w:numId w:val="1"/>
        </w:numPr>
        <w:spacing w:after="80"/>
      </w:pPr>
      <w:r>
        <w:rPr>
          <w:b/>
          <w:bCs/>
        </w:rPr>
        <w:t xml:space="preserve">Anti-tying.</w:t>
      </w:r>
      <w:r>
        <w:t xml:space="preserve">A warrantor may not condition coverage on the use of branded parts or services unless they are provided free or the FTC grants a waiver. § 2302(c).</w:t>
      </w:r>
    </w:p>
    <w:p>
      <w:pPr>
        <w:pStyle w:val="ListParagraph"/>
        <w:numPr>
          <w:ilvl w:val="0"/>
          <w:numId w:val="1"/>
        </w:numPr>
        <w:spacing w:after="80"/>
      </w:pPr>
      <w:r>
        <w:rPr>
          <w:b/>
          <w:bCs/>
        </w:rPr>
        <w:t xml:space="preserve">Private right of action and fees.</w:t>
      </w:r>
      <w:r>
        <w:t xml:space="preserve">§ 2310(d). Federal jurisdiction requires $50,000 in controversy, § 2310(d)(3). Otherwise, claims proceed in state court.</w:t>
      </w:r>
    </w:p>
    <w:p>
      <w:pPr>
        <w:pStyle w:val="Heading2"/>
        <w:spacing w:after="120" w:before="240"/>
      </w:pPr>
      <w:r>
        <w:rPr>
          <w:b/>
          <w:bCs/>
        </w:rPr>
        <w:t xml:space="preserve">Developments to Know</w:t>
      </w:r>
    </w:p>
    <w:p>
      <w:pPr>
        <w:pStyle w:val="ListParagraph"/>
        <w:numPr>
          <w:ilvl w:val="0"/>
          <w:numId w:val="1"/>
        </w:numPr>
        <w:spacing w:after="80"/>
      </w:pPr>
      <w:r>
        <w:rPr>
          <w:b/>
          <w:bCs/>
        </w:rPr>
        <w:t xml:space="preserve">Arbitration.</w:t>
      </w:r>
      <w:r>
        <w:t xml:space="preserve">Manufacturers have sought to compel arbitration of lemon law claims using arbitration clauses in dealers' retail installment contracts. In</w:t>
      </w:r>
      <w:r>
        <w:rPr>
          <w:i/>
          <w:iCs/>
        </w:rPr>
        <w:t xml:space="preserve">Ford Motor Warranty Cases</w:t>
      </w:r>
      <w:r>
        <w:t xml:space="preserve">(Cal. 2025), the California Supreme Court held that a manufacturer that is not a party to the sales contract cannot compel arbitration through equitable estoppel. Direct manufacturer arbitration provisions and state law continue to vary.</w:t>
      </w:r>
    </w:p>
    <w:p>
      <w:pPr>
        <w:pStyle w:val="ListParagraph"/>
        <w:numPr>
          <w:ilvl w:val="0"/>
          <w:numId w:val="1"/>
        </w:numPr>
        <w:spacing w:after="80"/>
      </w:pPr>
      <w:r>
        <w:rPr>
          <w:b/>
          <w:bCs/>
        </w:rPr>
        <w:t xml:space="preserve">California litigation reform (AB 1755, 2024, as amended by SB 26, 2025).</w:t>
      </w:r>
      <w:r>
        <w:t xml:space="preserve">New procedures, codified at Cal. Code Civ. Proc. § 871.20 et seq., apply to Song-Beverly vehicle cases against manufacturers that opt in. They include pre-suit notice, early production of documents, mandatory mediation, and provisions that tie civil-penalty exposure to the manufacturer's response to the consumer's notice.</w:t>
      </w:r>
    </w:p>
    <w:p>
      <w:pPr>
        <w:pStyle w:val="ListParagraph"/>
        <w:numPr>
          <w:ilvl w:val="0"/>
          <w:numId w:val="1"/>
        </w:numPr>
        <w:spacing w:after="80"/>
      </w:pPr>
      <w:r>
        <w:rPr>
          <w:b/>
          <w:bCs/>
        </w:rPr>
        <w:t xml:space="preserve">Used vehicles with remaining warranty.</w:t>
      </w:r>
      <w:r>
        <w:rPr>
          <w:i/>
          <w:iCs/>
        </w:rPr>
        <w:t xml:space="preserve">Rodriguez v. FCA US, LLC</w:t>
      </w:r>
      <w:r>
        <w:t xml:space="preserve">(Cal. Oct. 31, 2024) held that a used vehicle sold with an unexpired manufacturer's new-car warranty is generally not a "new motor vehicle" under Song-Beverly's refund-or-replace provisions.</w:t>
      </w:r>
    </w:p>
    <w:p>
      <w:pPr>
        <w:pStyle w:val="ListParagraph"/>
        <w:numPr>
          <w:ilvl w:val="0"/>
          <w:numId w:val="1"/>
        </w:numPr>
        <w:spacing w:after="80"/>
      </w:pPr>
      <w:r>
        <w:rPr>
          <w:b/>
          <w:bCs/>
        </w:rPr>
        <w:t xml:space="preserve">FTC enforcement of anti-tying rules.</w:t>
      </w:r>
      <w:r>
        <w:t xml:space="preserve">Following its 2021 policy statement on repair restrictions, the FTC brought actions in 2022 against Harley-Davidson, Westinghouse (MWE Investments), and Weber-Stephen for warranty terms that voided coverage if consumers used independent repair or third-party parts.</w:t>
      </w:r>
    </w:p>
    <w:p>
      <w:pPr>
        <w:pStyle w:val="ListParagraph"/>
        <w:numPr>
          <w:ilvl w:val="0"/>
          <w:numId w:val="1"/>
        </w:numPr>
        <w:spacing w:after="80"/>
      </w:pPr>
      <w:r>
        <w:rPr>
          <w:b/>
          <w:bCs/>
        </w:rPr>
        <w:t xml:space="preserve">Personal jurisdiction.</w:t>
      </w:r>
      <w:r>
        <w:t xml:space="preserve">In</w:t>
      </w:r>
      <w:r>
        <w:rPr>
          <w:i/>
          <w:iCs/>
        </w:rPr>
        <w:t xml:space="preserve">Ford Motor Co. v. Montana Eighth Judicial District Court</w:t>
      </w:r>
      <w:r>
        <w:t xml:space="preserve">, 592 U.S. 351 (2021), the Court held that a manufacturer that extensively serves a state's market for a model may be sued there when the vehicle malfunctions in the state, even if the particular vehicle was first sold elsewhere.</w:t>
      </w:r>
    </w:p>
    <w:p>
      <w:pPr>
        <w:pStyle w:val="ListParagraph"/>
        <w:numPr>
          <w:ilvl w:val="0"/>
          <w:numId w:val="1"/>
        </w:numPr>
        <w:spacing w:after="80"/>
      </w:pPr>
      <w:r>
        <w:rPr>
          <w:b/>
          <w:bCs/>
        </w:rPr>
        <w:t xml:space="preserve">Software-defined vehicles.</w:t>
      </w:r>
      <w:r>
        <w:t xml:space="preserve">Over-the-air updates, driver-assistance systems, and electric powertrains raise new questions about what counts as a "repair attempt," how days out of service are measured, and how intermittent electronic defects are documented. Practitioners should request software update histories and diagnostic records in addition to repair orders.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2026-09-28T18:12:33.087Z</dcterms:created>
  <dcterms:modified xsi:type="dcterms:W3CDTF">2026-09-28T18:12:33.087Z</dcterms:modified>
</cp:coreProperties>
</file>

<file path=docProps/custom.xml><?xml version="1.0" encoding="utf-8"?>
<Properties xmlns="http://schemas.openxmlformats.org/officeDocument/2006/custom-properties" xmlns:vt="http://schemas.openxmlformats.org/officeDocument/2006/docPropsVTypes"/>
</file>