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Cyberbullying and the First Amendment</w:t>
      </w:r>
    </w:p>
    <w:p>
      <w:pPr>
        <w:spacing w:after="200"/>
      </w:pPr>
      <w:r>
        <w:rPr>
          <w:rFonts w:ascii="Montserrat" w:cs="Montserrat" w:eastAsia="Montserrat" w:hAnsi="Montserrat"/>
          <w:b/>
          <w:bCs/>
          <w:color w:val="E87722"/>
          <w:sz w:val="24"/>
          <w:szCs w:val="24"/>
        </w:rPr>
        <w:t xml:space="preserve">Lee Rowland</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First Amendment framework governing cyberbullying and harmful online speech, including the categories of speech the government may regulate, the reasons state and local cyberbullying statutes have failed judicial review, the distinction between content-based prohibitions and conduct-based harassment law, and the role of private platforms in governing online expression.</w:t>
      </w:r>
    </w:p>
    <w:p>
      <w:pPr>
        <w:pStyle w:val="Heading2"/>
        <w:spacing w:after="120" w:before="240"/>
      </w:pPr>
      <w:r>
        <w:rPr>
          <w:b/>
          <w:bCs/>
        </w:rPr>
        <w:t xml:space="preserve">The First Amendment Online</w:t>
      </w:r>
    </w:p>
    <w:p>
      <w:pPr>
        <w:spacing w:after="160"/>
      </w:pPr>
      <w:r>
        <w:t xml:space="preserve">In Reno v. ACLU (1997), the Supreme Court held that the First Amendment applies to speech on the internet with the same force as to speech in traditional media, rejecting a lower level of protection for digital communication. Content-based restrictions on online speech are therefore subject to the same scrutiny as restrictions elsewhere.</w:t>
      </w:r>
    </w:p>
    <w:p>
      <w:pPr>
        <w:pStyle w:val="Heading2"/>
        <w:spacing w:after="120" w:before="240"/>
      </w:pPr>
      <w:r>
        <w:rPr>
          <w:b/>
          <w:bCs/>
        </w:rPr>
        <w:t xml:space="preserve">Categories of Unprotected Speech</w:t>
      </w:r>
    </w:p>
    <w:p>
      <w:pPr>
        <w:spacing w:after="160"/>
      </w:pPr>
      <w:r>
        <w:t xml:space="preserve">The government may proscribe a limited number of categories of speech. Obscenity, under Miller v. California (1973), requires sexual content that appeals to the prurient interest, is patently offensive under contemporary community standards, and lacks serious value; the guest observes that the category has narrowed substantially as standards have evolved. Fighting words, under Chaplinsky v. New Hampshire (1942), are face-to-face insults likely to provoke immediate violence, a doctrine of diminishing application and doubtful relevance to remote communication. True threats are statements conveying a serious intent to commit violence against a person, and incitement, under Brandenburg v. Ohio (1969), is advocacy directed to and likely to produce imminent lawless action. The guest emphasizes that the latter two categories turn on fear of physical harm rather than emotional distress.</w:t>
      </w:r>
    </w:p>
    <w:p>
      <w:pPr>
        <w:pStyle w:val="Heading2"/>
        <w:spacing w:after="120" w:before="240"/>
      </w:pPr>
      <w:r>
        <w:rPr>
          <w:b/>
          <w:bCs/>
        </w:rPr>
        <w:t xml:space="preserve">Enforcement of Existing Law Online</w:t>
      </w:r>
    </w:p>
    <w:p>
      <w:pPr>
        <w:spacing w:after="160"/>
      </w:pPr>
      <w:r>
        <w:t xml:space="preserve">The guest contends that true threats and harassment committed online are prosecutable under existing criminal statutes but are rarely charged, because law enforcement lacks the training and resources to identify anonymous speakers, establish jurisdiction over conduct that crosses borders, and process digital evidence. She argues that this enforcement gap, rather than any deficiency in substantive law, accounts for much of the perception that online speech is lawless.</w:t>
      </w:r>
    </w:p>
    <w:p>
      <w:pPr>
        <w:pStyle w:val="Heading2"/>
        <w:spacing w:after="120" w:before="240"/>
      </w:pPr>
      <w:r>
        <w:rPr>
          <w:b/>
          <w:bCs/>
        </w:rPr>
        <w:t xml:space="preserve">Cyberbullying Statutes and Facial Invalidity</w:t>
      </w:r>
    </w:p>
    <w:p>
      <w:pPr>
        <w:spacing w:after="160"/>
      </w:pPr>
      <w:r>
        <w:t xml:space="preserve">Numerous jurisdictions have enacted cyberbullying statutes that criminalize communications intended to cause emotional distress, annoyance, or humiliation. In People v. Marquan M. (N.Y. 2014), the New York Court of Appeals struck down an Albany County ordinance prohibiting the electronic dissemination of personal, sexual, or false information with intent to annoy, harass, taunt, torment, intimidate, or cause emotional distress, holding it facially overbroad because it reached protected speech well beyond the recognized unprotected categories. In State v. Bishop (N.C. 2016), the North Carolina Supreme Court invalidated a similar statute on the same ground. The guest identifies the common defect as the criminalization of speech based on its emotional effect rather than on any threat of violence.</w:t>
      </w:r>
    </w:p>
    <w:p>
      <w:pPr>
        <w:pStyle w:val="Heading2"/>
        <w:spacing w:after="120" w:before="240"/>
      </w:pPr>
      <w:r>
        <w:rPr>
          <w:b/>
          <w:bCs/>
        </w:rPr>
        <w:t xml:space="preserve">Harassment as Regulation of Conduct</w:t>
      </w:r>
    </w:p>
    <w:p>
      <w:pPr>
        <w:spacing w:after="160"/>
      </w:pPr>
      <w:r>
        <w:t xml:space="preserve">Harassment statutes survive First Amendment scrutiny because they regulate conduct rather than content: the repeated, unwanted contact of a specific individual after a request to cease. Liability does not depend on the words used, and the statutes do not reach speech about a person that is not directed to that person. The guest characterizes the resulting protection for public commentary, including harsh or insulting commentary, as essential to political speech, which characteristically begins with grievance.</w:t>
      </w:r>
    </w:p>
    <w:p>
      <w:pPr>
        <w:pStyle w:val="Heading2"/>
        <w:spacing w:after="120" w:before="240"/>
      </w:pPr>
      <w:r>
        <w:rPr>
          <w:b/>
          <w:bCs/>
        </w:rPr>
        <w:t xml:space="preserve">Comparative Hate Speech Regulation</w:t>
      </w:r>
    </w:p>
    <w:p>
      <w:pPr>
        <w:spacing w:after="160"/>
      </w:pPr>
      <w:r>
        <w:t xml:space="preserve">The guest cites European hate speech laws as illustrating the risks of authorizing the government to criminalize offensive expression, including prosecutions of human rights advocates and of a Spanish citizen for criticizing police after police were designated a protected class.</w:t>
      </w:r>
    </w:p>
    <w:p>
      <w:pPr>
        <w:pStyle w:val="Heading2"/>
        <w:spacing w:after="120" w:before="240"/>
      </w:pPr>
      <w:r>
        <w:rPr>
          <w:b/>
          <w:bCs/>
        </w:rPr>
        <w:t xml:space="preserve">Private Platforms and the State Action Doctrine</w:t>
      </w:r>
    </w:p>
    <w:p>
      <w:pPr>
        <w:spacing w:after="160"/>
      </w:pPr>
      <w:r>
        <w:t xml:space="preserve">Because the First Amendment constrains only government action, private platforms may remove users or content without constitutional limitation, and such platforms possess their own expressive rights. The guest observes that virtually all online speech is transmitted through privately owned infrastructure, so that platform policies rather than constitutional doctrine now determine the practical boundaries of expression. She identifies the absence of due process in platform moderation, including notice, explanation, and appeal, as the principal governance concern, and notes that political pressure on platforms tends to favor additional restriction.</w:t>
      </w:r>
    </w:p>
    <w:p>
      <w:pPr>
        <w:pStyle w:val="Heading2"/>
        <w:spacing w:after="120" w:before="240"/>
      </w:pPr>
      <w:r>
        <w:rPr>
          <w:b/>
          <w:bCs/>
        </w:rPr>
        <w:t xml:space="preserve">The Case Against Suppression</w:t>
      </w:r>
    </w:p>
    <w:p>
      <w:pPr>
        <w:spacing w:after="160"/>
      </w:pPr>
      <w:r>
        <w:t xml:space="preserve">The guest argues that suppressing hateful speech does not eliminate the underlying views and that open platforms permit hateful ideologies to be identified and answered. She weighs the harms of online cruelty against the value of communication tools that enable anonymous reporting of abuses and cross-border organizing, concluding that the First Amendment's refusal to permit criminalization of emotional distress is a deliberate feature of the constitutional design.</w:t>
      </w:r>
    </w:p>
    <w:p>
      <w:pPr>
        <w:pStyle w:val="Heading2"/>
        <w:spacing w:after="120" w:before="240"/>
      </w:pPr>
      <w:r>
        <w:rPr>
          <w:b/>
          <w:bCs/>
        </w:rPr>
        <w:t xml:space="preserve">Developments to Know</w:t>
      </w:r>
    </w:p>
    <w:p>
      <w:pPr>
        <w:spacing w:after="160"/>
      </w:pPr>
      <w:r>
        <w:t xml:space="preserve">In Packingham v. North Carolina (2017), the Supreme Court struck down a statute barring registered sex offenders from social media, describing such platforms as among the most important places for the exchange of views. In Mahanoy Area School District v. B.L. (2021), the Court held that a public school violated the First Amendment by suspending a student for a vulgar off-campus social media post, and that schools' authority to regulate off-campus student speech is substantially diminished. In Counterman v. Colorado (2023), the Court held that a true-threats prosecution requires proof that the speaker had at least a reckless awareness that the communication could be viewed as threatening, rejecting a purely objective standard. In Moody v. NetChoice, LLC (2024), the Court, reviewing Texas and Florida statutes restricting content moderation, reasoned that a platform's curation and moderation of third-party content is expressive activity protected by the First Amendment, and remanded for further proceedings. Federal district courts have preliminarily enjoined numerous state statutes restricting minors' access to social media on First Amendment grounds. Cyberbullying statutes reaching speech that causes emotional distress have continued to be invalidated by state and federal courts.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2026-09-24T04:38:13.598Z</dcterms:created>
  <dcterms:modified xsi:type="dcterms:W3CDTF">2026-09-24T04:38:13.598Z</dcterms:modified>
</cp:coreProperties>
</file>

<file path=docProps/custom.xml><?xml version="1.0" encoding="utf-8"?>
<Properties xmlns="http://schemas.openxmlformats.org/officeDocument/2006/custom-properties" xmlns:vt="http://schemas.openxmlformats.org/officeDocument/2006/docPropsVTypes"/>
</file>