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rPr>
          <w:rFonts w:ascii="Montserrat" w:cs="Montserrat" w:eastAsia="Montserrat" w:hAnsi="Montserrat"/>
          <w:b/>
          <w:bCs/>
          <w:sz w:val="36"/>
          <w:szCs w:val="36"/>
        </w:rPr>
        <w:t xml:space="preserve">How Diversity Fails, Even Without Villains</w:t>
      </w:r>
    </w:p>
    <w:p>
      <w:pPr>
        <w:spacing w:after="200"/>
      </w:pPr>
      <w:r>
        <w:rPr>
          <w:rFonts w:ascii="Montserrat" w:cs="Montserrat" w:eastAsia="Montserrat" w:hAnsi="Montserrat"/>
          <w:b/>
          <w:bCs/>
          <w:color w:val="E87722"/>
          <w:sz w:val="24"/>
          <w:szCs w:val="24"/>
        </w:rPr>
        <w:t xml:space="preserve">David B. Wilkins</w:t>
      </w:r>
    </w:p>
    <w:p>
      <w:pPr>
        <w:pBdr>
          <w:bottom w:val="single" w:color="E87722" w:sz="6"/>
        </w:pBdr>
        <w:spacing w:after="300"/>
      </w:pPr>
    </w:p>
    <w:p>
      <w:pPr>
        <w:pStyle w:val="Heading2"/>
        <w:spacing w:after="120" w:before="240"/>
      </w:pPr>
      <w:r>
        <w:rPr>
          <w:b/>
          <w:bCs/>
        </w:rPr>
        <w:t xml:space="preserve">Overview</w:t>
      </w:r>
    </w:p>
    <w:p>
      <w:pPr>
        <w:spacing w:after="160"/>
      </w:pPr>
      <w:r>
        <w:t xml:space="preserve">The central legal and professional tension in diversity efforts in the legal profession is how institutions can remain formally committed to equal opportunity while ordinary organizational practices continue to produce unequal outcomes in hiring, training, promotion, compensation, and leadership. The issue matters because law firms, law schools, corporate legal departments, government offices, and public interest organizations all depend on pathways that allocate credentials, mentorship, client access, work assignments, origination credit, and professional reputation. In this CLE talk, Professor David B. Wilkins of Harvard Law School, a leading scholar of the legal profession and faculty director of Harvard’s Center on the Legal Profession, examines why diversity can fail even where lawyers and law firm leaders do not understand themselves to be acting out of animus. The discussion ranges from Harvard Law School’s early affirmative action efforts and the career experiences of Black alumni to the After the JD longitudinal study, gender earnings gaps, partnership attrition, the Supreme Court’s decision in</w:t>
      </w:r>
      <w:r>
        <w:rPr>
          <w:b/>
          <w:bCs/>
        </w:rPr>
        <w:t xml:space="preserve">Students for Fair Admissions, Inc. v. President and Fellows of Harvard College</w:t>
      </w:r>
      <w:r>
        <w:t xml:space="preserve">, and the role of social capital in reproducing professional opportunity.</w:t>
      </w:r>
    </w:p>
    <w:p>
      <w:pPr>
        <w:spacing w:after="160"/>
      </w:pPr>
      <w:r>
        <w:t xml:space="preserve">A first major issue is that diversity in the legal profession cannot be understood only by examining entry-level hiring. Wilkins emphasizes that many elite institutions have become substantially more diverse at the point of entry, including law schools and associate classes at large law firms, but that diversity does not consistently carry through to partnership, general counsel roles, senior public interest positions, academic leadership, or other high-status professional destinations. The After the JD study, which followed a national sample of approximately 5,000 lawyers who entered the profession in 2000, showed the continuing importance of law firms as career gateways: roughly three-quarters of law graduates worked in a law firm at some point, and beginning in a large law firm remained strongly associated with later access to prestigious and high-earning positions across the profession. The point is not that all lawyers remain in large firms, but that the first institutional platform can affect later professional capital, mobility, and credibility.</w:t>
      </w:r>
    </w:p>
    <w:p>
      <w:pPr>
        <w:pStyle w:val="Heading2"/>
        <w:spacing w:after="120" w:before="240"/>
      </w:pPr>
      <w:r>
        <w:rPr>
          <w:b/>
          <w:bCs/>
        </w:rPr>
        <w:t xml:space="preserve">Legal Framework: Equal Opportunity After Formal Exclusion</w:t>
      </w:r>
    </w:p>
    <w:p>
      <w:pPr>
        <w:spacing w:after="160"/>
      </w:pPr>
      <w:r>
        <w:t xml:space="preserve">The legal backdrop for this discussion includes the shift from an earlier profession in which many elite opportunities were openly unavailable to women, Black lawyers, and other excluded groups, to a contemporary profession governed by formal anti-discrimination norms but still shaped by unequal access to opportunity.</w:t>
      </w:r>
      <w:r>
        <w:rPr>
          <w:b/>
          <w:bCs/>
        </w:rPr>
        <w:t xml:space="preserve">Title VII of the Civil Rights Act of 1964</w:t>
      </w:r>
      <w:r>
        <w:t xml:space="preserve">prohibits covered employers from discriminating in hiring, compensation, terms, conditions, or privileges of employment because of race, color, religion, sex, or national origin.</w:t>
      </w:r>
      <w:r>
        <w:rPr>
          <w:b/>
          <w:bCs/>
        </w:rPr>
        <w:t xml:space="preserve">42 U.S.C. § 1981</w:t>
      </w:r>
      <w:r>
        <w:t xml:space="preserve">protects the equal right of all persons to make and enforce contracts, including employment-related contractual relationships, without racial discrimination.</w:t>
      </w:r>
      <w:r>
        <w:rPr>
          <w:b/>
          <w:bCs/>
        </w:rPr>
        <w:t xml:space="preserve">Disparate treatment</w:t>
      </w:r>
      <w:r>
        <w:t xml:space="preserve">is the employment discrimination doctrine addressing intentional differential treatment because of a protected characteristic.</w:t>
      </w:r>
      <w:r>
        <w:rPr>
          <w:b/>
          <w:bCs/>
        </w:rPr>
        <w:t xml:space="preserve">Disparate impact</w:t>
      </w:r>
      <w:r>
        <w:t xml:space="preserve">is the employment discrimination doctrine addressing facially neutral employment practices that disproportionately exclude protected groups and are not justified by sufficient business necessity under the applicable legal standard.</w:t>
      </w:r>
    </w:p>
    <w:p>
      <w:pPr>
        <w:spacing w:after="160"/>
      </w:pPr>
      <w:r>
        <w:t xml:space="preserve">Wilkins’s analysis does not treat intentional discrimination as irrelevant; he states that prejudice and discrimination continue to exist in law firms. His principal point, however, is that those concepts do not fully explain observed outcomes, particularly when many law firm leaders have spent substantial resources on diversity initiatives and may be personally committed to inclusion. The more difficult problem is institutional: the systems that determine who receives meaningful work, who is trained, who is sponsored, who is invited into client relationships, who is credited for business generation, and who is perceived as having long-term partnership potential. These decisions may be made through informal judgments, scarce time, and heuristics rather than explicit hostility, but they remain central to legally significant employment outcomes such as promotion, compensation, and retention.</w:t>
      </w:r>
    </w:p>
    <w:p>
      <w:pPr>
        <w:pStyle w:val="Heading2"/>
        <w:spacing w:after="120" w:before="240"/>
      </w:pPr>
      <w:r>
        <w:rPr>
          <w:b/>
          <w:bCs/>
        </w:rPr>
        <w:t xml:space="preserve">Affirmative Action, Students for Fair Admissions, and Program Design</w:t>
      </w:r>
    </w:p>
    <w:p>
      <w:pPr>
        <w:spacing w:after="160"/>
      </w:pPr>
      <w:r>
        <w:t xml:space="preserve">The conversation also addresses affirmative action and the contemporary legal environment for diversity programs. Wilkins describes Harvard Law School’s 1965 initiative to recruit talented Black students from historically Black colleges and universities as a pivotal institutional development in legal education, noting that Harvard had graduated only one Black student in the class of 1965, the same number as in the class of 1869. He connects that history to later studies of Black Harvard Law School alumni, which show both extraordinary professional achievement and important variation within racial categories, including significant differences in the experiences of Black women and Black men.</w:t>
      </w:r>
    </w:p>
    <w:p>
      <w:pPr>
        <w:spacing w:after="160"/>
      </w:pPr>
      <w:r>
        <w:rPr>
          <w:b/>
          <w:bCs/>
        </w:rPr>
        <w:t xml:space="preserve">Students for Fair Admissions, Inc. v. President and Fellows of Harvard College</w:t>
      </w:r>
      <w:r>
        <w:t xml:space="preserve">is the 2023 Supreme Court decision holding that Harvard’s and the University of North Carolina’s race-conscious undergraduate admissions programs violated the Equal Protection Clause and Title VI because they did not satisfy the Court’s requirements for the limited use of race in admissions.</w:t>
      </w:r>
      <w:r>
        <w:rPr>
          <w:b/>
          <w:bCs/>
        </w:rPr>
        <w:t xml:space="preserve">The Equal Protection Clause of the Fourteenth Amendment</w:t>
      </w:r>
      <w:r>
        <w:t xml:space="preserve">prohibits states from denying any person equal protection of the laws and supplies the constitutional framework for strict scrutiny of governmental racial classifications.</w:t>
      </w:r>
      <w:r>
        <w:rPr>
          <w:b/>
          <w:bCs/>
        </w:rPr>
        <w:t xml:space="preserve">Title VI of the Civil Rights Act of 1964</w:t>
      </w:r>
      <w:r>
        <w:t xml:space="preserve">prohibits race, color, and national origin discrimination in programs or activities receiving federal financial assistance and has been interpreted in this context to impose limits parallel to equal protection principles on federally funded educational institutions.</w:t>
      </w:r>
    </w:p>
    <w:p>
      <w:pPr>
        <w:spacing w:after="160"/>
      </w:pPr>
      <w:r>
        <w:t xml:space="preserve">Wilkins’s account of the post-</w:t>
      </w:r>
      <w:r>
        <w:rPr>
          <w:b/>
          <w:bCs/>
        </w:rPr>
        <w:t xml:space="preserve">Students for Fair Admissions</w:t>
      </w:r>
      <w:r>
        <w:t xml:space="preserve">environment is cautious and practical. He observes that the decision, together with broader governmental and political pressures, has made many institutions reluctant even to use the language of diversity, and that some targeted diversity fellowships and race-specific programs have been eliminated or substantially revised. At the same time, he distinguishes the Supreme Court’s actual holding in the admissions context from broader claims that organizations may stop addressing inequality, training, mentoring, retention, or talent development. For law firms and legal employers, the relevant legal question is often not whether they may improve opportunity systems, but how they design programs in a manner consistent with Title VII, § 1981, and other applicable anti-discrimination requirements.</w:t>
      </w:r>
    </w:p>
    <w:p>
      <w:pPr>
        <w:pStyle w:val="Heading2"/>
        <w:spacing w:after="120" w:before="240"/>
      </w:pPr>
      <w:r>
        <w:rPr>
          <w:b/>
          <w:bCs/>
        </w:rPr>
        <w:t xml:space="preserve">Why Entry-Level Diversity Does Not Necessarily Produce Diverse Partnership</w:t>
      </w:r>
    </w:p>
    <w:p>
      <w:pPr>
        <w:spacing w:after="160"/>
      </w:pPr>
      <w:r>
        <w:t xml:space="preserve">A central theme of the discussion is that the traditional law firm partnership track is often described as a meritocratic tournament but does not operate like a neutral competition with identical conditions for all participants. Wilkins uses the analogy of a tournament to identify the assumptions that would be necessary for such a system to be fair: a level playing field, neutral decision-makers, clear rules, and winners selected only on the basis of performance. In his account, law firms rarely satisfy those conditions because associates do not receive the same work, the same feedback, the same partner investment, or the same access to clients. The quality of assignments matters because lawyers are developed through practice, supervision, and correction; repetitive or low-value work may not build the skills or relationships necessary for advancement.</w:t>
      </w:r>
    </w:p>
    <w:p>
      <w:pPr>
        <w:spacing w:after="160"/>
      </w:pPr>
      <w:r>
        <w:t xml:space="preserve">This analysis has direct legal and professional implications. Work allocation, performance evaluation, sponsorship, and promotion are not peripheral matters; they are the mechanisms through which employment opportunities are distributed. If women or lawyers of color are disproportionately excluded from high-quality assignments, client-facing opportunities, or influential sponsors, the formal absence of discriminatory language may not resolve the underlying equal opportunity concern. At the same time, Wilkins emphasizes that the mechanisms often operate through rational behavior by individual partners rather than villainous intent. Partners have limited time, depend on associates to complete their work, and may invest most heavily in lawyers whom they believe are likely to remain, succeed, and reflect prior models of success.</w:t>
      </w:r>
    </w:p>
    <w:p>
      <w:pPr>
        <w:spacing w:after="160"/>
      </w:pPr>
      <w:r>
        <w:t xml:space="preserve">The difficulty is that these predictive judgments are made on limited information and may reflect social familiarity, prior institutional credentials, assumptions about commitment, or similarity to existing partners. Wilkins notes that partners may know little about a new associate beyond law school attended, law review membership, perceived fit, and surface-level indicators of likely success. Because existing partners define what success has looked like in the firm, they may more easily recognize potential in people who resemble themselves or their prior protégés. This is not a complete account of every individual career, and Wilkins stresses that people from underrepresented backgrounds do succeed, often by learning the informal rules and positioning themselves in the stream of opportunity. But it helps explain why recruiting a diverse associate class may not, by itself, produce a diverse partnership.</w:t>
      </w:r>
    </w:p>
    <w:p>
      <w:pPr>
        <w:pStyle w:val="Heading2"/>
        <w:spacing w:after="120" w:before="240"/>
      </w:pPr>
      <w:r>
        <w:rPr>
          <w:b/>
          <w:bCs/>
        </w:rPr>
        <w:t xml:space="preserve">Gender, Compensation, Parenthood, and Advancement</w:t>
      </w:r>
    </w:p>
    <w:p>
      <w:pPr>
        <w:spacing w:after="160"/>
      </w:pPr>
      <w:r>
        <w:t xml:space="preserve">The After the JD findings discussed in the transcript also identify substantial gender differences in career outcomes. By approximately twenty years into the studied cohort’s careers, women earned about 71 percent of what men earned, and the gap widened as the cohort aged. Wilkins explains that women and men entered large law firms and similar elite spaces at roughly comparable rates, but women were more likely to leave large law firms, move to part-time work, exit the full-time workforce, or fail to advance to partnership and general counsel positions at the same rates as men. The result is not attributable solely to women selecting different sectors, because gender differences persisted even when comparing lawyers within sectors.</w:t>
      </w:r>
    </w:p>
    <w:p>
      <w:pPr>
        <w:spacing w:after="160"/>
      </w:pPr>
      <w:r>
        <w:t xml:space="preserve">Wilkins also treats the so-called motherhood penalty as complex. Men have children as well, and men with children often have the highest earnings, while women may step back or reorganize their careers to manage the demands of two-career households and childcare. The transcript does not reduce the issue to one cause, but identifies multiple components relevant to employment law and firm governance: promotion rates, bonus compensation, hours credit, origination credit, and access to the client relationships that generate long-term power in private practice. These are precisely the kinds of workplace systems that legal employers must examine if they seek to understand whether formal equality at entry translates into equal professional opportunity over time.</w:t>
      </w:r>
    </w:p>
    <w:p>
      <w:pPr>
        <w:spacing w:after="160"/>
      </w:pPr>
      <w:r>
        <w:t xml:space="preserve">The gender discussion also intersects with race. Wilkins notes that a majority, and in some periods a very large majority, of Black law students have been women, meaning that racial diversity efforts cannot be separated from gender equity. He describes Black women as facing the challenges experienced by Black men, the challenges experienced by white women, and additional challenges at the intersection of race and gender. That intersectional reality is reflected in senior outcomes: Black partners remain a small percentage of partners in Am Law 250 firms, and Black women partners represent an even smaller share. For legal employers, this reinforces the importance of examining outcomes by more than one category at a time, while remaining attentive to the legal limits on race- or sex-conscious decision-making.</w:t>
      </w:r>
    </w:p>
    <w:p>
      <w:pPr>
        <w:pStyle w:val="Heading2"/>
        <w:spacing w:after="120" w:before="240"/>
      </w:pPr>
      <w:r>
        <w:rPr>
          <w:b/>
          <w:bCs/>
        </w:rPr>
        <w:t xml:space="preserve">Professional Responsibility, Training, and Supervision</w:t>
      </w:r>
    </w:p>
    <w:p>
      <w:pPr>
        <w:spacing w:after="160"/>
      </w:pPr>
      <w:r>
        <w:t xml:space="preserve">The transcript’s discussion of training and mentorship also implicates professional responsibility principles.</w:t>
      </w:r>
      <w:r>
        <w:rPr>
          <w:b/>
          <w:bCs/>
        </w:rPr>
        <w:t xml:space="preserve">ABA Model Rule 1.1</w:t>
      </w:r>
      <w:r>
        <w:t xml:space="preserve">requires a lawyer to provide competent representation, meaning the legal knowledge, skill, thoroughness, and preparation reasonably necessary for the representation.</w:t>
      </w:r>
      <w:r>
        <w:rPr>
          <w:b/>
          <w:bCs/>
        </w:rPr>
        <w:t xml:space="preserve">ABA Model Rule 5.1</w:t>
      </w:r>
      <w:r>
        <w:t xml:space="preserve">requires partners and lawyers with managerial authority to make reasonable efforts to ensure that a firm has measures giving reasonable assurance that all lawyers conform to the Rules of Professional Conduct.</w:t>
      </w:r>
      <w:r>
        <w:rPr>
          <w:b/>
          <w:bCs/>
        </w:rPr>
        <w:t xml:space="preserve">ABA Model Rule 5.2</w:t>
      </w:r>
      <w:r>
        <w:t xml:space="preserve">provides that a subordinate lawyer is bound by the Rules of Professional Conduct even when acting at another lawyer’s direction, subject to a limited safe harbor for reasonable resolution of an arguable question of professional duty.</w:t>
      </w:r>
    </w:p>
    <w:p>
      <w:pPr>
        <w:spacing w:after="160"/>
      </w:pPr>
      <w:r>
        <w:t xml:space="preserve">Wilkins’s point is not framed as a claim that diversity failures are themselves professional discipline violations. Rather, he identifies a practical connection between training systems and the professional development necessary for competent legal work. If firms rely on young lawyers to learn through practice but do not distribute developmental assignments and meaningful feedback equitably, then talent development becomes uneven. As leverage ratios increase and partners have less time to train larger groups of associates, mentorship becomes more important and more scarce. That scarcity can deepen inequality when partners reserve training opportunities for lawyers perceived as more likely to remain, more likely to become profitable, or more similar to those who have historically advanced.</w:t>
      </w:r>
    </w:p>
    <w:p>
      <w:pPr>
        <w:pStyle w:val="Heading2"/>
        <w:spacing w:after="120" w:before="240"/>
      </w:pPr>
      <w:r>
        <w:rPr>
          <w:b/>
          <w:bCs/>
        </w:rPr>
        <w:t xml:space="preserve">Social Capital, Credentials, and Local Legal Markets</w:t>
      </w:r>
    </w:p>
    <w:p>
      <w:pPr>
        <w:spacing w:after="160"/>
      </w:pPr>
      <w:r>
        <w:t xml:space="preserve">A further theme is the relationship between social capital, educational capital, and workplace opportunity. Wilkins describes elite law schools and large law firms as linked institutions: students from high-income professional backgrounds are more likely to attend elite colleges, more likely to attend elite law schools, more likely to begin at elite law firms, and therefore more likely to access later professional opportunities associated with those institutions. At the same time, he emphasizes that opportunity is not limited to elite national pipelines. His work on urban law schools examines how graduates of non-elite law schools located in major legal markets may gain access to large law firms because legal practice remains partly local, law firms need talent, alumni become influential in local firms, and geographic proximity creates professional relationships.</w:t>
      </w:r>
    </w:p>
    <w:p>
      <w:pPr>
        <w:spacing w:after="160"/>
      </w:pPr>
      <w:r>
        <w:t xml:space="preserve">This account complicates a purely credentials-based understanding of merit. A lawyer’s opportunity may be affected by family wealth, professional networks, local relationships, debt burden, institutional sponsorship, and access to clients, as well as by grades, law review membership, and law school rank. Wilkins refers to the “bank of mum and dad” as shorthand for the role of intergenerational wealth in shaping who can afford education, housing, geographic mobility, unpaid or lower-paid opportunities, and financial risk. In the legal profession, those advantages may influence not only entry but also staying power: the ability to manage student loans, survive periods of uncertainty, build a book of business, or accept lower compensation in exchange for long-term opportunity.</w:t>
      </w:r>
    </w:p>
    <w:p>
      <w:pPr>
        <w:pStyle w:val="Heading2"/>
        <w:spacing w:after="120" w:before="240"/>
      </w:pPr>
      <w:r>
        <w:rPr>
          <w:b/>
          <w:bCs/>
        </w:rPr>
        <w:t xml:space="preserve">Broader Implications for Legal Institutions</w:t>
      </w:r>
    </w:p>
    <w:p>
      <w:pPr>
        <w:spacing w:after="160"/>
      </w:pPr>
      <w:r>
        <w:t xml:space="preserve">The broader implication of Wilkins’s analysis is that diversity efforts fail when institutions treat diversity as an add-on to existing systems rather than as a reason to examine how those systems allocate opportunity. The transcript does not present a single legal remedy or a claim that all disparities have one cause. Instead, it offers an institutional account: law firms and legal employers may sincerely value diversity, recruit diverse classes, and still reproduce unequal outcomes through ordinary practices concerning work assignment, mentorship, evaluation, sponsorship, compensation, and client development. That account is especially important for practicing lawyers because these are not abstract sociological categories; they are the workplace structures through which lawyers become competent, visible, trusted, and promotable.</w:t>
      </w:r>
    </w:p>
    <w:p>
      <w:pPr>
        <w:spacing w:after="160"/>
      </w:pPr>
      <w:r>
        <w:t xml:space="preserve">For CLE purposes, the legal significance lies in connecting anti-discrimination doctrine, post-</w:t>
      </w:r>
      <w:r>
        <w:rPr>
          <w:b/>
          <w:bCs/>
        </w:rPr>
        <w:t xml:space="preserve">Students for Fair Admissions</w:t>
      </w:r>
      <w:r>
        <w:t xml:space="preserve">program design, and professional responsibility concerns to the lived structure of lawyer careers. Legal employers must comply with Title VII, § 1981, and applicable constitutional or statutory limits where relevant, but compliance alone does not answer the managerial question of how to develop and retain talent in a profession undergoing changes from technology, client pressure, lateral mobility, cost concerns, and shifting expectations about work and life. Wilkins’s contribution is to show that unequal outcomes can persist without requiring a simple story of villains, and that serious analysis must focus on the institutions, incentives, and informal rules that determine who receives the opportunities from which legal careers are made.</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Open Sans" w:cs="Open Sans" w:eastAsia="Open Sans" w:hAnsi="Open Sans"/>
        <w:color w:val="999999"/>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Montserrat" w:cs="Montserrat" w:eastAsia="Montserrat" w:hAnsi="Montserrat"/>
        <w:color w:val="999999"/>
        <w:sz w:val="16"/>
        <w:szCs w:val="16"/>
      </w:rPr>
      <w:t xml:space="preserve">TalksOnLaw — Written Materials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Open Sans" w:cs="Open Sans" w:eastAsia="Open Sans" w:hAnsi="Open Sans"/>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240"/>
    </w:pPr>
    <w:rPr>
      <w:rFonts w:ascii="Montserrat" w:cs="Montserrat" w:eastAsia="Montserrat" w:hAnsi="Montserrat"/>
      <w:b/>
      <w:bCs/>
      <w:sz w:val="36"/>
      <w:szCs w:val="36"/>
    </w:rPr>
  </w:style>
  <w:style w:type="paragraph" w:styleId="Heading2">
    <w:name w:val="Heading 2"/>
    <w:basedOn w:val="Normal"/>
    <w:next w:val="Normal"/>
    <w:qFormat/>
    <w:pPr>
      <w:spacing w:after="120" w:before="200"/>
    </w:pPr>
    <w:rPr>
      <w:rFonts w:ascii="Montserrat" w:cs="Montserrat" w:eastAsia="Montserrat" w:hAnsi="Montserrat"/>
      <w:b/>
      <w:bCs/>
      <w:sz w:val="30"/>
      <w:szCs w:val="30"/>
    </w:rPr>
  </w:style>
  <w:style w:type="paragraph" w:styleId="Heading3">
    <w:name w:val="Heading 3"/>
    <w:basedOn w:val="Normal"/>
    <w:next w:val="Normal"/>
    <w:qFormat/>
    <w:pPr>
      <w:spacing w:after="100" w:before="160"/>
    </w:pPr>
    <w:rPr>
      <w:rFonts w:ascii="Montserrat" w:cs="Montserrat" w:eastAsia="Montserrat" w:hAnsi="Montserrat"/>
      <w:b/>
      <w:bC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2026-08-31T21:54:41.182Z</dcterms:created>
  <dcterms:modified xsi:type="dcterms:W3CDTF">2026-08-31T21:54:41.182Z</dcterms:modified>
</cp:coreProperties>
</file>

<file path=docProps/custom.xml><?xml version="1.0" encoding="utf-8"?>
<Properties xmlns="http://schemas.openxmlformats.org/officeDocument/2006/custom-properties" xmlns:vt="http://schemas.openxmlformats.org/officeDocument/2006/docPropsVTypes"/>
</file>