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80"/>
      </w:pPr>
      <w:r>
        <w:rPr>
          <w:rFonts w:ascii="Montserrat" w:cs="Montserrat" w:eastAsia="Montserrat" w:hAnsi="Montserrat"/>
          <w:b/>
          <w:bCs/>
          <w:sz w:val="36"/>
          <w:szCs w:val="36"/>
        </w:rPr>
        <w:t xml:space="preserve">Inside Counsel at Scale</w:t>
      </w:r>
    </w:p>
    <w:p>
      <w:pPr>
        <w:spacing w:after="200"/>
      </w:pPr>
      <w:r>
        <w:rPr>
          <w:rFonts w:ascii="Montserrat" w:cs="Montserrat" w:eastAsia="Montserrat" w:hAnsi="Montserrat"/>
          <w:b/>
          <w:bCs/>
          <w:color w:val="E87722"/>
          <w:sz w:val="24"/>
          <w:szCs w:val="24"/>
        </w:rPr>
        <w:t xml:space="preserve">C.J. Mahoney</w:t>
      </w:r>
    </w:p>
    <w:p>
      <w:pPr>
        <w:pBdr>
          <w:bottom w:val="single" w:color="E87722" w:sz="6"/>
        </w:pBdr>
        <w:spacing w:after="300"/>
      </w:pPr>
    </w:p>
    <w:p>
      <w:pPr>
        <w:pStyle w:val="Heading2"/>
        <w:spacing w:after="120" w:before="240"/>
      </w:pPr>
      <w:r>
        <w:rPr>
          <w:b/>
          <w:bCs/>
        </w:rPr>
        <w:t xml:space="preserve">Overview</w:t>
      </w:r>
    </w:p>
    <w:p>
      <w:pPr>
        <w:spacing w:after="160"/>
      </w:pPr>
      <w:r>
        <w:t xml:space="preserve">The work of a chief legal officer at a large technology company now sits at the intersection of litigation strategy, regulatory design, product counseling, artificial intelligence, privacy, competition law, and legal department management. In this episode of</w:t>
      </w:r>
      <w:r>
        <w:rPr>
          <w:i/>
          <w:iCs/>
        </w:rPr>
        <w:t xml:space="preserve">New Law Order</w:t>
      </w:r>
      <w:r>
        <w:t xml:space="preserve">, co-hosts Joel Cohen and Yale Law Professor John Morley speak with C.J. Mahoney, Chief Legal Officer of Meta, about the legal and institutional challenges of serving as inside counsel at scale. Mahoney’s career has included appellate clerkships, a decade as a trial lawyer at Williams &amp; Connolly, senior service at the Office of the United States Trade Representative, a senior legal role at Microsoft, and now leadership of a legal department of roughly 1,500 professionals at Meta.</w:t>
      </w:r>
    </w:p>
    <w:p>
      <w:pPr>
        <w:spacing w:after="160"/>
      </w:pPr>
      <w:r>
        <w:t xml:space="preserve">The conversation highlights several legal issues of current importance to practicing lawyers: the role of litigation in addressing alleged harms from social media use by minors; defenses based on</w:t>
      </w:r>
      <w:r>
        <w:rPr>
          <w:b/>
          <w:bCs/>
        </w:rPr>
        <w:t xml:space="preserve">Section 230</w:t>
      </w:r>
      <w:r>
        <w:t xml:space="preserve">and the</w:t>
      </w:r>
      <w:r>
        <w:rPr>
          <w:b/>
          <w:bCs/>
        </w:rPr>
        <w:t xml:space="preserve">First Amendment</w:t>
      </w:r>
      <w:r>
        <w:t xml:space="preserve">; the structure of mass litigation through multidistrict proceedings; antitrust challenges to consummated technology acquisitions; emerging regulation of age verification and youth access to online platforms; privilege and professional responsibility issues in the use of generative AI by legal departments; and the changing relationship between in-house counsel and outside law firms. The discussion is not a comprehensive treatment of any one doctrine, but it provides a practical account of how legal doctrine, litigation posture, public policy, and operational realities interact inside a large technology company.</w:t>
      </w:r>
    </w:p>
    <w:p>
      <w:pPr>
        <w:pStyle w:val="Heading2"/>
        <w:spacing w:after="120" w:before="240"/>
      </w:pPr>
      <w:r>
        <w:rPr>
          <w:b/>
          <w:bCs/>
        </w:rPr>
        <w:t xml:space="preserve">Trade Negotiation, Public Law, and Institutional Deal-Making</w:t>
      </w:r>
    </w:p>
    <w:p>
      <w:pPr>
        <w:spacing w:after="160"/>
      </w:pPr>
      <w:r>
        <w:t xml:space="preserve">Mahoney begins by describing his service as Deputy United States Trade Representative during the renegotiation of the North American Free Trade Agreement.</w:t>
      </w:r>
      <w:r>
        <w:rPr>
          <w:b/>
          <w:bCs/>
        </w:rPr>
        <w:t xml:space="preserve">NAFTA</w:t>
      </w:r>
      <w:r>
        <w:t xml:space="preserve">was a trilateral trade agreement among the United States, Canada, and Mexico that reduced trade barriers and established rules for cross-border commerce among the three countries. The renegotiation of NAFTA resulted in the</w:t>
      </w:r>
      <w:r>
        <w:rPr>
          <w:b/>
          <w:bCs/>
        </w:rPr>
        <w:t xml:space="preserve">United States-Mexico-Canada Agreement</w:t>
      </w:r>
      <w:r>
        <w:t xml:space="preserve">, which is the successor trilateral trade agreement governing trade among the United States, Mexico, and Canada. Mahoney emphasizes that the negotiations involved both traditional Republican trade priorities and Democratic priorities relating to Mexican labor standards, including concerns about non-democratic labor unions and perceived labor-cost advantages.</w:t>
      </w:r>
    </w:p>
    <w:p>
      <w:pPr>
        <w:spacing w:after="160"/>
      </w:pPr>
      <w:r>
        <w:t xml:space="preserve">The account is significant for lawyers because it illustrates the role of counsel in public-law negotiation where legal drafting, institutional trust, and political coalition-building must occur simultaneously. Mahoney describes the process as unusually bipartisan, with a House Democratic working group appointed by Speaker Pelosi engaging in difficult but confidential discussions. For CLE purposes, the discussion underscores that legal implementation of trade agreements depends not only on treaty or agreement text, but also on domestic implementing legislation and sustained political support.</w:t>
      </w:r>
      <w:r>
        <w:rPr>
          <w:b/>
          <w:bCs/>
        </w:rPr>
        <w:t xml:space="preserve">Implementing legislation</w:t>
      </w:r>
      <w:r>
        <w:t xml:space="preserve">is domestic legislation enacted by Congress to give legal effect to international trade commitments under United States law.</w:t>
      </w:r>
    </w:p>
    <w:p>
      <w:pPr>
        <w:pStyle w:val="Heading2"/>
        <w:spacing w:after="120" w:before="240"/>
      </w:pPr>
      <w:r>
        <w:rPr>
          <w:b/>
          <w:bCs/>
        </w:rPr>
        <w:t xml:space="preserve">Social Media Litigation, Youth Mental Health, and Platform Liability</w:t>
      </w:r>
    </w:p>
    <w:p>
      <w:pPr>
        <w:spacing w:after="160"/>
      </w:pPr>
      <w:r>
        <w:t xml:space="preserve">A central part of the conversation concerns litigation alleging that social media products are addictive or harmful to young users. Mahoney frames these cases against a broader social concern about children, screen time, technology use, and youth mental health. He acknowledges that parents and society face genuine issues relating to children’s online experiences, but argues that litigation is an imperfect forum for resolving complex questions about causation, product design, mental health, and parental responsibility.</w:t>
      </w:r>
    </w:p>
    <w:p>
      <w:pPr>
        <w:spacing w:after="160"/>
      </w:pPr>
      <w:r>
        <w:t xml:space="preserve">Several legal doctrines are directly implicated.</w:t>
      </w:r>
      <w:r>
        <w:rPr>
          <w:b/>
          <w:bCs/>
        </w:rPr>
        <w:t xml:space="preserve">Section 230 of the Communications Decency Act</w:t>
      </w:r>
      <w:r>
        <w:t xml:space="preserve">generally provides that an interactive computer service is not treated as the publisher or speaker of information provided by another content provider, subject to statutory exceptions. Mahoney identifies Section 230 as one of Meta’s principal defenses in litigation arising from user-generated content and platform activity.</w:t>
      </w:r>
      <w:r>
        <w:rPr>
          <w:b/>
          <w:bCs/>
        </w:rPr>
        <w:t xml:space="preserve">The First Amendment</w:t>
      </w:r>
      <w:r>
        <w:t xml:space="preserve">protects freedom of speech from governmental restriction and is often invoked in cases involving platform moderation, content dissemination, compelled speech, and regulation of expressive activity. Mahoney also identifies First Amendment arguments as important defenses that may become more significant as cases move through appellate review.</w:t>
      </w:r>
    </w:p>
    <w:p>
      <w:pPr>
        <w:spacing w:after="160"/>
      </w:pPr>
      <w:r>
        <w:t xml:space="preserve">The litigation structure also raises procedural issues.</w:t>
      </w:r>
      <w:r>
        <w:rPr>
          <w:b/>
          <w:bCs/>
        </w:rPr>
        <w:t xml:space="preserve">A class action</w:t>
      </w:r>
      <w:r>
        <w:t xml:space="preserve">is a procedural device that permits one or more representative plaintiffs to litigate claims on behalf of a defined class when requirements such as commonality, typicality, adequacy, and predominance are satisfied. Mahoney states that these youth mental health claims are difficult to certify as class actions because individual mental health causation is highly individualized.</w:t>
      </w:r>
      <w:r>
        <w:rPr>
          <w:b/>
          <w:bCs/>
        </w:rPr>
        <w:t xml:space="preserve">Multidistrict litigation</w:t>
      </w:r>
      <w:r>
        <w:t xml:space="preserve">is a federal procedure under which civil actions pending in different federal districts that share common factual questions may be transferred to one district for coordinated pretrial proceedings. Mahoney explains that many individual user cases are consolidated in federal multidistrict litigation in the Northern District of California, with additional related proceedings in state court and cases brought by school districts and state attorneys general.</w:t>
      </w:r>
    </w:p>
    <w:p>
      <w:pPr>
        <w:spacing w:after="160"/>
      </w:pPr>
      <w:r>
        <w:t xml:space="preserve">The discussion also touches on damages and trial risk.</w:t>
      </w:r>
      <w:r>
        <w:rPr>
          <w:b/>
          <w:bCs/>
        </w:rPr>
        <w:t xml:space="preserve">Punitive damages</w:t>
      </w:r>
      <w:r>
        <w:t xml:space="preserve">are damages awarded, where legally available, to punish or deter especially wrongful conduct rather than to compensate the plaintiff for a specific loss. Mahoney discusses a Los Angeles trial in which the jury found Meta liable in a limited way as a contributing factor to a plaintiff’s mental health challenges, while awarding punitive damages far below the amount requested by plaintiff’s counsel. His point is not that such verdicts are inconsequential, but that juries may recognize the individualized and multi-causal nature of mental health evidence even in plaintiff-friendly jurisdictions.</w:t>
      </w:r>
    </w:p>
    <w:p>
      <w:pPr>
        <w:pStyle w:val="Heading2"/>
        <w:spacing w:after="120" w:before="240"/>
      </w:pPr>
      <w:r>
        <w:rPr>
          <w:b/>
          <w:bCs/>
        </w:rPr>
        <w:t xml:space="preserve">Regulation of Youth Access, Age Verification, and Platform Design</w:t>
      </w:r>
    </w:p>
    <w:p>
      <w:pPr>
        <w:spacing w:after="160"/>
      </w:pPr>
      <w:r>
        <w:t xml:space="preserve">Mahoney distinguishes litigation from regulatory approaches to youth safety. He states that Meta is not opposed to regulation in principle, but is concerned that regulation should apply evenly and should not disadvantage logged-in platforms relative to less regulated parts of the internet.</w:t>
      </w:r>
      <w:r>
        <w:rPr>
          <w:b/>
          <w:bCs/>
        </w:rPr>
        <w:t xml:space="preserve">Age-verification regulation</w:t>
      </w:r>
      <w:r>
        <w:t xml:space="preserve">refers to legal requirements requiring platforms, app stores, or other intermediaries to determine or verify a user’s age before permitting access to certain services or content. The conversation discusses efforts in Australia, France, the United Kingdom, and various United States jurisdictions to restrict or regulate youth access to social media services.</w:t>
      </w:r>
    </w:p>
    <w:p>
      <w:pPr>
        <w:spacing w:after="160"/>
      </w:pPr>
      <w:r>
        <w:t xml:space="preserve">Mahoney argues that regulation aimed only at logged-in social media platforms may push minors toward less safe online environments that do not attempt age verification or content moderation. He also identifies app stores and device-level controls as potentially important components of an age-assurance regime because children typically access social media applications through smartphones set up with parental involvement or billing information. This portion of the conversation is important for lawyers because it illustrates a recurring regulatory design issue: whether legal obligations should attach to content platforms, app stores, device manufacturers, internet access points, parents, or some combination of these actors.</w:t>
      </w:r>
    </w:p>
    <w:p>
      <w:pPr>
        <w:pStyle w:val="Heading2"/>
        <w:spacing w:after="120" w:before="240"/>
      </w:pPr>
      <w:r>
        <w:rPr>
          <w:b/>
          <w:bCs/>
        </w:rPr>
        <w:t xml:space="preserve">Antitrust Litigation and Consummated Acquisitions</w:t>
      </w:r>
    </w:p>
    <w:p>
      <w:pPr>
        <w:spacing w:after="160"/>
      </w:pPr>
      <w:r>
        <w:t xml:space="preserve">The conversation also addresses the Federal Trade Commission’s challenge to Meta’s past acquisitions of Instagram and WhatsApp.</w:t>
      </w:r>
      <w:r>
        <w:rPr>
          <w:b/>
          <w:bCs/>
        </w:rPr>
        <w:t xml:space="preserve">FTC v. Meta Platforms, Inc.</w:t>
      </w:r>
      <w:r>
        <w:t xml:space="preserve">is the federal antitrust action in which the FTC challenged Meta’s acquisitions of Instagram and WhatsApp on the theory that those acquisitions unlawfully maintained or strengthened Meta’s position in personal social networking. Mahoney describes the FTC’s theory as an attempt to reconstruct an alternative history in which Instagram or WhatsApp would have developed into independent competitors absent acquisition by Meta. He emphasizes that Instagram, at the time of acquisition, was a smaller company with limited revenue and that Meta invested substantial resources to scale the product.</w:t>
      </w:r>
    </w:p>
    <w:p>
      <w:pPr>
        <w:spacing w:after="160"/>
      </w:pPr>
      <w:r>
        <w:t xml:space="preserve">The principal substantive antitrust doctrines reasonably implicated by this discussion are monopoly maintenance and unfair methods of competition.</w:t>
      </w:r>
      <w:r>
        <w:rPr>
          <w:b/>
          <w:bCs/>
        </w:rPr>
        <w:t xml:space="preserve">Section 2 of the Sherman Act</w:t>
      </w:r>
      <w:r>
        <w:t xml:space="preserve">prohibits monopolization, attempted monopolization, and conspiracies to monopolize through exclusionary conduct rather than competition on the merits.</w:t>
      </w:r>
      <w:r>
        <w:rPr>
          <w:b/>
          <w:bCs/>
        </w:rPr>
        <w:t xml:space="preserve">Section 5 of the Federal Trade Commission Act</w:t>
      </w:r>
      <w:r>
        <w:t xml:space="preserve">prohibits unfair methods of competition and authorizes the FTC to challenge conduct that violates or threatens the competitive process. The litigation also raises remedial questions because the FTC sought, or could seek, structural relief affecting acquisitions that closed years earlier.</w:t>
      </w:r>
      <w:r>
        <w:rPr>
          <w:b/>
          <w:bCs/>
        </w:rPr>
        <w:t xml:space="preserve">Divestiture</w:t>
      </w:r>
      <w:r>
        <w:t xml:space="preserve">is an antitrust remedy requiring a firm to sell or separate assets or businesses to restore competition or reduce anticompetitive effects.</w:t>
      </w:r>
    </w:p>
    <w:p>
      <w:pPr>
        <w:spacing w:after="160"/>
      </w:pPr>
      <w:r>
        <w:t xml:space="preserve">Mahoney notes that Meta prevailed after a bench trial before Judge Boasberg and that the matter is on appeal to the D.C. Circuit.</w:t>
      </w:r>
      <w:r>
        <w:rPr>
          <w:b/>
          <w:bCs/>
        </w:rPr>
        <w:t xml:space="preserve">A bench trial</w:t>
      </w:r>
      <w:r>
        <w:t xml:space="preserve">is a trial in which the judge, rather than a jury, acts as the finder of fact and applies the law to the evidence.</w:t>
      </w:r>
      <w:r>
        <w:rPr>
          <w:b/>
          <w:bCs/>
        </w:rPr>
        <w:t xml:space="preserve">An appeal</w:t>
      </w:r>
      <w:r>
        <w:t xml:space="preserve">is a request that a higher court review a lower court’s judgment for legal error, and in some circumstances for sufficiency of the evidence or abuse of discretion. For practitioners, the discussion illustrates the distinctive challenges of litigating consummated technology acquisitions long after the acquired products have been integrated, scaled, and changed through post-acquisition investment.</w:t>
      </w:r>
    </w:p>
    <w:p>
      <w:pPr>
        <w:pStyle w:val="Heading2"/>
        <w:spacing w:after="120" w:before="240"/>
      </w:pPr>
      <w:r>
        <w:rPr>
          <w:b/>
          <w:bCs/>
        </w:rPr>
        <w:t xml:space="preserve">Artificial Intelligence, Open Source Models, and Safety Concerns</w:t>
      </w:r>
    </w:p>
    <w:p>
      <w:pPr>
        <w:spacing w:after="160"/>
      </w:pPr>
      <w:r>
        <w:t xml:space="preserve">Mahoney describes Meta’s artificial intelligence strategy as an extension of the company’s broader engineering preference for controlling more of the technology stack, including infrastructure, models, and product integration. He states that AI may be used both to improve existing products and to create new product categories. The conversation also addresses Meta’s history of making model weights available and the possibility of making versions of newer models open source.</w:t>
      </w:r>
      <w:r>
        <w:rPr>
          <w:b/>
          <w:bCs/>
        </w:rPr>
        <w:t xml:space="preserve">Open source software or model release</w:t>
      </w:r>
      <w:r>
        <w:t xml:space="preserve">generally refers to making code, model weights, or related technical assets publicly available for others to use, inspect, modify, or build upon under stated terms.</w:t>
      </w:r>
    </w:p>
    <w:p>
      <w:pPr>
        <w:spacing w:after="160"/>
      </w:pPr>
      <w:r>
        <w:t xml:space="preserve">The legal and policy issues around open models include safety, misuse, information sharing, and the relationship between industry and government. Mahoney acknowledges that models must include protections against harmful outputs, including uses related to weapons or cyber abuse, and that safety work often involves a continuing effort to respond to bad actors who attempt to evade safeguards. He also identifies information sharing and transparency reporting as potential mechanisms for improving safety across the industry.</w:t>
      </w:r>
      <w:r>
        <w:rPr>
          <w:b/>
          <w:bCs/>
        </w:rPr>
        <w:t xml:space="preserve">Transparency reporting</w:t>
      </w:r>
      <w:r>
        <w:t xml:space="preserve">refers to a practice in which a company publicly or selectively discloses information about enforcement, safety, content moderation, security, or government-request activity to improve accountability and understanding of platform operations.</w:t>
      </w:r>
    </w:p>
    <w:p>
      <w:pPr>
        <w:spacing w:after="160"/>
      </w:pPr>
      <w:r>
        <w:t xml:space="preserve">The discussion also briefly addresses defense-related uses of AI and the need for technology companies and the Department of Defense to find ways to work together responsibly. Mahoney does not provide a detailed legal analysis of government contracting terms or weapons law, but the conversation reasonably implicates legal issues around procurement, national security, export controls, and terms-of-service restrictions. Because the transcript does not identify specific procurement statutes or export-control regimes, those doctrines are not developed here beyond noting that they form part of the broader legal environment for AI systems used in national-security settings.</w:t>
      </w:r>
    </w:p>
    <w:p>
      <w:pPr>
        <w:pStyle w:val="Heading2"/>
        <w:spacing w:after="120" w:before="240"/>
      </w:pPr>
      <w:r>
        <w:rPr>
          <w:b/>
          <w:bCs/>
        </w:rPr>
        <w:t xml:space="preserve">Smart Glasses, Privacy, and the Gap Between Technology and Law</w:t>
      </w:r>
    </w:p>
    <w:p>
      <w:pPr>
        <w:spacing w:after="160"/>
      </w:pPr>
      <w:r>
        <w:t xml:space="preserve">Mahoney also discusses AI-enabled smart glasses and wearables as a possible next form factor for computing. He notes that such products will generate legal issues relating to data, privacy, social norms, and user expectations.</w:t>
      </w:r>
      <w:r>
        <w:rPr>
          <w:b/>
          <w:bCs/>
        </w:rPr>
        <w:t xml:space="preserve">Privacy law</w:t>
      </w:r>
      <w:r>
        <w:t xml:space="preserve">refers to the body of federal, state, and international legal rules governing the collection, use, disclosure, retention, and protection of personal information. The transcript does not focus on any particular privacy statute, but the issues Mahoney identifies—continuous sensing, contextual assistance, user data, and bystander expectations—are central to privacy counseling for connected devices.</w:t>
      </w:r>
    </w:p>
    <w:p>
      <w:pPr>
        <w:spacing w:after="160"/>
      </w:pPr>
      <w:r>
        <w:t xml:space="preserve">For inside counsel, the key point is institutional rather than doctrinal: product development may move faster than legislation, case law, and social norms. Mahoney describes the role of the legal department as navigating the boundary between technological capability, societal expectations, and legal rules. That observation is especially relevant for lawyers advising on new technologies where the law is unsettled, because counsel must often help product teams evaluate risk before courts or legislatures have supplied clear answers.</w:t>
      </w:r>
    </w:p>
    <w:p>
      <w:pPr>
        <w:pStyle w:val="Heading2"/>
        <w:spacing w:after="120" w:before="240"/>
      </w:pPr>
      <w:r>
        <w:rPr>
          <w:b/>
          <w:bCs/>
        </w:rPr>
        <w:t xml:space="preserve">AI in the Legal Department, Privilege, and Professional Responsibility</w:t>
      </w:r>
    </w:p>
    <w:p>
      <w:pPr>
        <w:spacing w:after="160"/>
      </w:pPr>
      <w:r>
        <w:t xml:space="preserve">The conversation turns to how Meta’s legal department uses AI internally. Mahoney describes current and near-term uses including document summarization, initial drafting of simple agreements, matter dashboards, information synthesis, and support for product counseling workflows. He predicts that AI will increasingly assist lawyers in business processes rather than merely operate as a chatbot or summarization tool. The goal, as he describes it, is not to replace lawyers, but to reduce time spent on administrative or information-collation tasks and allow lawyers to focus on more difficult judgment-based work.</w:t>
      </w:r>
    </w:p>
    <w:p>
      <w:pPr>
        <w:spacing w:after="160"/>
      </w:pPr>
      <w:r>
        <w:t xml:space="preserve">This raises important privilege and ethics issues.</w:t>
      </w:r>
      <w:r>
        <w:rPr>
          <w:b/>
          <w:bCs/>
        </w:rPr>
        <w:t xml:space="preserve">Attorney-client privilege</w:t>
      </w:r>
      <w:r>
        <w:t xml:space="preserve">protects confidential communications between attorney and client made for the purpose of seeking or providing legal advice.</w:t>
      </w:r>
      <w:r>
        <w:rPr>
          <w:b/>
          <w:bCs/>
        </w:rPr>
        <w:t xml:space="preserve">Privilege waiver</w:t>
      </w:r>
      <w:r>
        <w:t xml:space="preserve">occurs when protected communications are disclosed in a manner inconsistent with maintaining confidentiality, potentially allowing an adversary to obtain or use the information. Mahoney notes that lawyers using AI tools must consider how to preserve privilege, and he analogizes future doctrine to email, cloud computing, legal research platforms, and other third-party technical services that do not necessarily destroy confidentiality when used appropriately.</w:t>
      </w:r>
    </w:p>
    <w:p>
      <w:pPr>
        <w:spacing w:after="160"/>
      </w:pPr>
      <w:r>
        <w:t xml:space="preserve">Professional responsibility is also implicated.</w:t>
      </w:r>
      <w:r>
        <w:rPr>
          <w:b/>
          <w:bCs/>
        </w:rPr>
        <w:t xml:space="preserve">ABA Model Rule 1.1</w:t>
      </w:r>
      <w:r>
        <w:t xml:space="preserve">requires a lawyer to provide competent representation, including the legal knowledge, skill, thoroughness, and preparation reasonably necessary for the representation.</w:t>
      </w:r>
      <w:r>
        <w:rPr>
          <w:b/>
          <w:bCs/>
        </w:rPr>
        <w:t xml:space="preserve">ABA Model Rule 1.6</w:t>
      </w:r>
      <w:r>
        <w:t xml:space="preserve">requires a lawyer to protect information relating to the representation of a client unless the client gives informed consent or another exception applies.</w:t>
      </w:r>
      <w:r>
        <w:rPr>
          <w:b/>
          <w:bCs/>
        </w:rPr>
        <w:t xml:space="preserve">ABA Model Rule 1.3</w:t>
      </w:r>
      <w:r>
        <w:t xml:space="preserve">requires a lawyer to act with reasonable diligence and promptness in representing a client. The participants discuss the possibility that, for some tasks, failing to use AI may eventually be viewed as poor lawyering or even malpractice if competent and efficient tools are available and reliable.</w:t>
      </w:r>
    </w:p>
    <w:p>
      <w:pPr>
        <w:spacing w:after="160"/>
      </w:pPr>
      <w:r>
        <w:rPr>
          <w:b/>
          <w:bCs/>
        </w:rPr>
        <w:t xml:space="preserve">Legal malpractice</w:t>
      </w:r>
      <w:r>
        <w:t xml:space="preserve">is a civil claim alleging that a lawyer breached the applicable professional standard of care and caused harm to the client. Mahoney does not assert that lawyers currently commit malpractice by failing to use AI, but he agrees that there may be circumstances in which AI tools improve accuracy or efficiency, particularly in repetitive review tasks where human fatigue can affect performance. The CLE significance is that lawyers adopting AI must evaluate both sides of the risk: inappropriate reliance on AI may create accuracy, confidentiality, or supervision problems, while refusal to consider effective tools may create competence and cost concerns in appropriate matters.</w:t>
      </w:r>
    </w:p>
    <w:p>
      <w:pPr>
        <w:pStyle w:val="Heading2"/>
        <w:spacing w:after="120" w:before="240"/>
      </w:pPr>
      <w:r>
        <w:rPr>
          <w:b/>
          <w:bCs/>
        </w:rPr>
        <w:t xml:space="preserve">Outside Counsel, Law Firm Economics, and the In-House Function</w:t>
      </w:r>
    </w:p>
    <w:p>
      <w:pPr>
        <w:spacing w:after="160"/>
      </w:pPr>
      <w:r>
        <w:t xml:space="preserve">Mahoney expects AI to create pressure on the traditional law firm leverage model. The conventional large-firm model often depends on teams of junior and mid-level attorneys performing research, drafting, review, and process-heavy tasks under partner supervision. Mahoney suggests that large language models may perform some of that work, which could reduce the need to use outside counsel as supplemental labor and increase the relative value of strategic judgment, courtroom skill, and specialized counseling. He also indicates that law firms that incorporate AI effectively may gain an advantage over firms that do not.</w:t>
      </w:r>
    </w:p>
    <w:p>
      <w:pPr>
        <w:spacing w:after="160"/>
      </w:pPr>
      <w:r>
        <w:t xml:space="preserve">As a buyer of legal services, Mahoney values outside lawyers who provide a point of view, not merely a list of considerations. He wants counsel to identify risks and caveats, but ultimately to recommend a course of action when judgment is required. He also emphasizes creativity and willingness to fight when appropriate.</w:t>
      </w:r>
      <w:r>
        <w:rPr>
          <w:b/>
          <w:bCs/>
        </w:rPr>
        <w:t xml:space="preserve">Zealous representation</w:t>
      </w:r>
      <w:r>
        <w:t xml:space="preserve">is the professional norm that lawyers should pursue a client’s lawful objectives diligently and committedly within the bounds of law and ethics. Mahoney’s formulation is measured: effective advocacy does not require belligerence in every dispute, but it does require judgment about which fights matter and a commitment to representing the client with seriousness and skill.</w:t>
      </w:r>
    </w:p>
    <w:p>
      <w:pPr>
        <w:pStyle w:val="Heading2"/>
        <w:spacing w:after="120" w:before="240"/>
      </w:pPr>
      <w:r>
        <w:rPr>
          <w:b/>
          <w:bCs/>
        </w:rPr>
        <w:t xml:space="preserve">Management of a Large Legal Department</w:t>
      </w:r>
    </w:p>
    <w:p>
      <w:pPr>
        <w:spacing w:after="160"/>
      </w:pPr>
      <w:r>
        <w:t xml:space="preserve">The final portion of the conversation addresses the management dimension of inside counsel work. Mahoney contrasts law firms, which often have relatively small matter teams and strong professional hierarchies, with corporate legal departments, which require permanent management structures, cross-functional coordination, and career development for large numbers of professionals. He describes learning from senior lawyers at Microsoft, including Brad Smith and Fred Humphries, about the importance of taking management as seriously as legal excellence.</w:t>
      </w:r>
    </w:p>
    <w:p>
      <w:pPr>
        <w:spacing w:after="160"/>
      </w:pPr>
      <w:r>
        <w:t xml:space="preserve">For lawyers moving in-house or leading legal teams, Mahoney’s central management point is that feedback is most effective when the recipient believes the manager is invested in the recipient’s success. He describes candid feedback as easier to receive when it comes from someone who has established trust and demonstrated commitment to the lawyer’s development. Although this is not a legal doctrine, it is closely connected to the professional obligations of lawyers who supervise other lawyers and nonlawyers.</w:t>
      </w:r>
      <w:r>
        <w:rPr>
          <w:b/>
          <w:bCs/>
        </w:rPr>
        <w:t xml:space="preserve">ABA Model Rule 5.1</w:t>
      </w:r>
      <w:r>
        <w:t xml:space="preserve">requires partners and supervisory lawyers to make reasonable efforts to ensure that lawyers in a firm or legal department conform to the Rules of Professional Conduct.</w:t>
      </w:r>
      <w:r>
        <w:rPr>
          <w:b/>
          <w:bCs/>
        </w:rPr>
        <w:t xml:space="preserve">ABA Model Rule 5.3</w:t>
      </w:r>
      <w:r>
        <w:t xml:space="preserve">requires lawyers with managerial or supervisory authority to make reasonable efforts to ensure that nonlawyer assistants act consistently with the lawyer’s professional obligations.</w:t>
      </w:r>
    </w:p>
    <w:p>
      <w:pPr>
        <w:spacing w:after="160"/>
      </w:pPr>
      <w:r>
        <w:t xml:space="preserve">The conversation ultimately presents the modern chief legal officer as both lawyer and institutional architect. At Meta’s scale, legal judgment includes courtroom strategy, regulatory engagement, antitrust defense, AI governance, privacy counseling, internal technology deployment, outside counsel management, and supervision of a large professional organization. For practicing attorneys, Mahoney’s experience underscores that inside counsel at scale must integrate doctrine with operations: the legal question is rarely isolated from product design, public policy, litigation economics, corporate governance, or the practical capacity of an organization to implement legal advice.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Open Sans" w:cs="Open Sans" w:eastAsia="Open Sans" w:hAnsi="Open Sans"/>
        <w:color w:val="999999"/>
        <w:sz w:val="16"/>
        <w:szCs w:val="16"/>
      </w:rPr>
      <w:t xml:space="preserve">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Montserrat" w:cs="Montserrat" w:eastAsia="Montserrat" w:hAnsi="Montserrat"/>
        <w:color w:val="999999"/>
        <w:sz w:val="16"/>
        <w:szCs w:val="16"/>
      </w:rPr>
      <w:t xml:space="preserve">TalksOnLaw — Written Materials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cs="Open Sans" w:eastAsia="Open Sans" w:hAnsi="Open Sans"/>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pPr>
    <w:rPr>
      <w:rFonts w:ascii="Montserrat" w:cs="Montserrat" w:eastAsia="Montserrat" w:hAnsi="Montserrat"/>
      <w:b/>
      <w:bCs/>
      <w:sz w:val="36"/>
      <w:szCs w:val="36"/>
    </w:rPr>
  </w:style>
  <w:style w:type="paragraph" w:styleId="Heading2">
    <w:name w:val="Heading 2"/>
    <w:basedOn w:val="Normal"/>
    <w:next w:val="Normal"/>
    <w:qFormat/>
    <w:pPr>
      <w:spacing w:after="120" w:before="200"/>
    </w:pPr>
    <w:rPr>
      <w:rFonts w:ascii="Montserrat" w:cs="Montserrat" w:eastAsia="Montserrat" w:hAnsi="Montserrat"/>
      <w:b/>
      <w:bCs/>
      <w:sz w:val="30"/>
      <w:szCs w:val="30"/>
    </w:rPr>
  </w:style>
  <w:style w:type="paragraph" w:styleId="Heading3">
    <w:name w:val="Heading 3"/>
    <w:basedOn w:val="Normal"/>
    <w:next w:val="Normal"/>
    <w:qFormat/>
    <w:pPr>
      <w:spacing w:after="100" w:before="160"/>
    </w:pPr>
    <w:rPr>
      <w:rFonts w:ascii="Montserrat" w:cs="Montserrat" w:eastAsia="Montserrat" w:hAnsi="Montserrat"/>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2026-05-26T18:49:07.199Z</dcterms:created>
  <dcterms:modified xsi:type="dcterms:W3CDTF">2026-05-26T18:49:07.199Z</dcterms:modified>
</cp:coreProperties>
</file>

<file path=docProps/custom.xml><?xml version="1.0" encoding="utf-8"?>
<Properties xmlns="http://schemas.openxmlformats.org/officeDocument/2006/custom-properties" xmlns:vt="http://schemas.openxmlformats.org/officeDocument/2006/docPropsVTypes"/>
</file>