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pPr>
      <w:r>
        <w:rPr>
          <w:rFonts w:ascii="Montserrat" w:cs="Montserrat" w:eastAsia="Montserrat" w:hAnsi="Montserrat"/>
          <w:b/>
          <w:bCs/>
          <w:sz w:val="36"/>
          <w:szCs w:val="36"/>
        </w:rPr>
        <w:t xml:space="preserve">The Mismatch Critique of Affirmative Action</w:t>
      </w:r>
    </w:p>
    <w:p>
      <w:pPr>
        <w:spacing w:after="200"/>
      </w:pPr>
      <w:r>
        <w:rPr>
          <w:rFonts w:ascii="Montserrat" w:cs="Montserrat" w:eastAsia="Montserrat" w:hAnsi="Montserrat"/>
          <w:b/>
          <w:bCs/>
          <w:color w:val="E87722"/>
          <w:sz w:val="24"/>
          <w:szCs w:val="24"/>
        </w:rPr>
        <w:t xml:space="preserve">Prof. Richard Sander</w:t>
      </w:r>
    </w:p>
    <w:p>
      <w:pPr>
        <w:pBdr>
          <w:bottom w:val="single" w:color="E87722" w:sz="6"/>
        </w:pBdr>
        <w:spacing w:after="300"/>
      </w:pPr>
    </w:p>
    <w:p>
      <w:pPr>
        <w:pStyle w:val="Heading2"/>
        <w:spacing w:after="120" w:before="240"/>
      </w:pPr>
      <w:r>
        <w:rPr>
          <w:b/>
          <w:bCs/>
        </w:rPr>
        <w:t xml:space="preserve">Overview</w:t>
      </w:r>
    </w:p>
    <w:p>
      <w:pPr>
        <w:spacing w:after="160"/>
      </w:pPr>
      <w:r>
        <w:t xml:space="preserve">This program examines the contemporary legal and empirical debate over affirmative action in legal education through the work of Professor Richard Sander of UCLA School of Law, a scholar trained in both law and economics. The discussion centers on what Sander describes as the “mismatch” critique: the claim that large admissions preferences may place some students in academic environments where their entering credentials are substantially below those of their peers, with adverse consequences for grades, bar passage, and professional outcomes. The conversation is framed by recent Supreme Court doctrine, particularly</w:t>
      </w:r>
      <w:r>
        <w:rPr>
          <w:b/>
          <w:bCs/>
        </w:rPr>
        <w:t xml:space="preserve">Students for Fair Admissions, Inc. v. President and Fellows of Harvard College</w:t>
      </w:r>
      <w:r>
        <w:t xml:space="preserve">and</w:t>
      </w:r>
      <w:r>
        <w:rPr>
          <w:b/>
          <w:bCs/>
        </w:rPr>
        <w:t xml:space="preserve">Students for Fair Admissions, Inc. v. University of North Carolina</w:t>
      </w:r>
      <w:r>
        <w:t xml:space="preserve">, and by Sander’s ongoing research into law school admissions patterns following those decisions.</w:t>
      </w:r>
    </w:p>
    <w:p>
      <w:pPr>
        <w:spacing w:after="160"/>
      </w:pPr>
      <w:r>
        <w:t xml:space="preserve">Sander’s perspective is distinct from some other critiques of race-conscious admissions because it is primarily consequential rather than categorical. He does not present the mismatch argument as a claim that diversity goals are inherently illegitimate; rather, he argues that certain forms of racial preferencing may be ineffective or counterproductive for the students they are intended to benefit. For a CLE audience, the significance of the discussion lies in the intersection of constitutional doctrine, admissions and employment compliance, professional licensing outcomes, institutional transparency, and law firm diversity practices in the post-</w:t>
      </w:r>
      <w:r>
        <w:rPr>
          <w:b/>
          <w:bCs/>
        </w:rPr>
        <w:t xml:space="preserve">SFFA</w:t>
      </w:r>
      <w:r>
        <w:t xml:space="preserve">environment.</w:t>
      </w:r>
    </w:p>
    <w:p>
      <w:pPr>
        <w:pStyle w:val="Heading2"/>
        <w:spacing w:after="120" w:before="240"/>
      </w:pPr>
      <w:r>
        <w:rPr>
          <w:b/>
          <w:bCs/>
        </w:rPr>
        <w:t xml:space="preserve">Legal Framework for Race-Conscious Admissions</w:t>
      </w:r>
    </w:p>
    <w:p>
      <w:pPr>
        <w:spacing w:after="160"/>
      </w:pPr>
      <w:r>
        <w:t xml:space="preserve">The discussion begins with the Supreme Court’s affirmative action jurisprudence in higher education.</w:t>
      </w:r>
      <w:r>
        <w:rPr>
          <w:b/>
          <w:bCs/>
        </w:rPr>
        <w:t xml:space="preserve">Regents of the University of California v. Bakke</w:t>
      </w:r>
      <w:r>
        <w:t xml:space="preserve">is the 1978 Supreme Court decision that invalidated a medical school’s racial quota while permitting, in Justice Powell’s controlling opinion, limited consideration of race as one factor in admissions to obtain educational diversity.</w:t>
      </w:r>
      <w:r>
        <w:rPr>
          <w:b/>
          <w:bCs/>
        </w:rPr>
        <w:t xml:space="preserve">Grutter v. Bollinger</w:t>
      </w:r>
      <w:r>
        <w:t xml:space="preserve">is the 2003 Supreme Court decision that upheld the University of Michigan Law School’s individualized, race-conscious admissions policy under strict scrutiny based on the asserted educational benefits of diversity.</w:t>
      </w:r>
      <w:r>
        <w:rPr>
          <w:b/>
          <w:bCs/>
        </w:rPr>
        <w:t xml:space="preserve">Gratz v. Bollinger</w:t>
      </w:r>
      <w:r>
        <w:t xml:space="preserve">is the 2003 Supreme Court decision that invalidated the University of Michigan’s undergraduate admissions policy because its point-based award for race was not sufficiently individualized.</w:t>
      </w:r>
      <w:r>
        <w:rPr>
          <w:b/>
          <w:bCs/>
        </w:rPr>
        <w:t xml:space="preserve">Students for Fair Admissions, Inc. v. Harvard</w:t>
      </w:r>
      <w:r>
        <w:t xml:space="preserve">and</w:t>
      </w:r>
      <w:r>
        <w:rPr>
          <w:b/>
          <w:bCs/>
        </w:rPr>
        <w:t xml:space="preserve">Students for Fair Admissions, Inc. v. UNC</w:t>
      </w:r>
      <w:r>
        <w:t xml:space="preserve">are the 2023 Supreme Court decisions holding that the challenged race-conscious admissions programs at Harvard and UNC violated governing equal protection principles and Title VI standards by using race in ways the Court found insufficiently constrained, measurable, and time-limited.</w:t>
      </w:r>
    </w:p>
    <w:p>
      <w:pPr>
        <w:spacing w:after="160"/>
      </w:pPr>
      <w:r>
        <w:t xml:space="preserve">The relevant constitutional doctrine is</w:t>
      </w:r>
      <w:r>
        <w:rPr>
          <w:b/>
          <w:bCs/>
        </w:rPr>
        <w:t xml:space="preserve">strict scrutiny</w:t>
      </w:r>
      <w:r>
        <w:t xml:space="preserve">, which requires a racial classification by a governmental actor to serve a compelling governmental interest and to be narrowly tailored to achieve that interest. The</w:t>
      </w:r>
      <w:r>
        <w:rPr>
          <w:b/>
          <w:bCs/>
        </w:rPr>
        <w:t xml:space="preserve">Equal Protection Clause of the Fourteenth Amendment</w:t>
      </w:r>
      <w:r>
        <w:t xml:space="preserve">prohibits states from denying any person the equal protection of the laws and supplies the constitutional framework for reviewing race-conscious admissions policies at public universities.</w:t>
      </w:r>
      <w:r>
        <w:rPr>
          <w:b/>
          <w:bCs/>
        </w:rPr>
        <w:t xml:space="preserve">Title VI of the Civil Rights Act of 1964</w:t>
      </w:r>
      <w:r>
        <w:t xml:space="preserve">prohibits race, color, and national origin discrimination in programs or activities receiving federal financial assistance and was central to the challenge against Harvard because Harvard is a private university receiving federal funds. In the transcript, Sander characterizes</w:t>
      </w:r>
      <w:r>
        <w:rPr>
          <w:b/>
          <w:bCs/>
        </w:rPr>
        <w:t xml:space="preserve">SFFA</w:t>
      </w:r>
      <w:r>
        <w:t xml:space="preserve">as a more consequential doctrinal shift than earlier decisions because, in his view, the Court did not leave institutions an easy path to continue prior practices in substantially the same form.</w:t>
      </w:r>
    </w:p>
    <w:p>
      <w:pPr>
        <w:spacing w:after="160"/>
      </w:pPr>
      <w:r>
        <w:t xml:space="preserve">The conversation also addresses state-law limits on race-conscious admissions.</w:t>
      </w:r>
      <w:r>
        <w:rPr>
          <w:b/>
          <w:bCs/>
        </w:rPr>
        <w:t xml:space="preserve">California Proposition 209</w:t>
      </w:r>
      <w:r>
        <w:t xml:space="preserve">is the 1996 voter-approved amendment to the California Constitution prohibiting the state and its public institutions from discriminating against or granting preferential treatment on the basis of race, sex, color, ethnicity, or national origin in public education, public employment, and public contracting. Sander notes that the University of California has been subject to Proposition 209 for decades, but he expresses skepticism that formal prohibitions alone ensure fully race-neutral admissions practices absent access to admissions data and effective enforcement mechanisms.</w:t>
      </w:r>
    </w:p>
    <w:p>
      <w:pPr>
        <w:pStyle w:val="Heading2"/>
        <w:spacing w:after="120" w:before="240"/>
      </w:pPr>
      <w:r>
        <w:rPr>
          <w:b/>
          <w:bCs/>
        </w:rPr>
        <w:t xml:space="preserve">Sander’s Post-SFFA Admissions Research</w:t>
      </w:r>
    </w:p>
    <w:p>
      <w:pPr>
        <w:spacing w:after="160"/>
      </w:pPr>
      <w:r>
        <w:t xml:space="preserve">A significant portion of the discussion concerns Sander’s new empirical work using self-reported applicant data from lawschooldata.com. According to Sander, law school admissions provide a distinctive field of study because law schools have historically relied heavily on LSAT scores and undergraduate GPA, and because legal education is highly hierarchical in its relationship to elite employment, clerkships, and academic opportunities. He explains that the website includes applicant-reported credentials, admissions results, waitlist outcomes, and underrepresented minority status, allowing researchers to estimate the degree to which race continues to predict admissions outcomes after controlling for conventional academic credentials.</w:t>
      </w:r>
    </w:p>
    <w:p>
      <w:pPr>
        <w:spacing w:after="160"/>
      </w:pPr>
      <w:r>
        <w:t xml:space="preserve">Sander compares this newer dataset with earlier admissions data that he and colleagues obtained through public records requests to public law schools in the mid-2000s. The</w:t>
      </w:r>
      <w:r>
        <w:rPr>
          <w:b/>
          <w:bCs/>
        </w:rPr>
        <w:t xml:space="preserve">Freedom of Information Act</w:t>
      </w:r>
      <w:r>
        <w:t xml:space="preserve">is the federal statute that provides public access to records held by federal agencies, subject to exemptions, although state public universities are generally governed by state public records laws rather than FOIA itself. State public records laws, including the</w:t>
      </w:r>
      <w:r>
        <w:rPr>
          <w:b/>
          <w:bCs/>
        </w:rPr>
        <w:t xml:space="preserve">California Public Records Act</w:t>
      </w:r>
      <w:r>
        <w:t xml:space="preserve">, require state and local agencies to disclose public records unless a statutory exemption applies. Sander describes the increasing difficulty of obtaining admissions data through public records mechanisms, attributing that difficulty to the contested and litigated nature of race-conscious admissions.</w:t>
      </w:r>
    </w:p>
    <w:p>
      <w:pPr>
        <w:spacing w:after="160"/>
      </w:pPr>
      <w:r>
        <w:t xml:space="preserve">Based on his prior work, Sander states that, around 2007, many law schools used racial preferences for Black applicants that he estimates were roughly equivalent to about ten LSAT points and a similar one-standard-deviation adjustment in undergraduate GPA, with smaller preferences for Hispanic applicants. He characterizes these preferences as approximating a form of “race norming” in admissions, meaning that institutions sought to produce admit pools resembling the racial composition of the applicant pool by offsetting average credential gaps. In his newer analysis, he reports that preferences at elite schools in 2021 resembled earlier patterns, while preferences at lower-ranked schools had already declined substantially before</w:t>
      </w:r>
      <w:r>
        <w:rPr>
          <w:b/>
          <w:bCs/>
        </w:rPr>
        <w:t xml:space="preserve">SFFA</w:t>
      </w:r>
      <w:r>
        <w:t xml:space="preserve">.</w:t>
      </w:r>
    </w:p>
    <w:p>
      <w:pPr>
        <w:spacing w:after="160"/>
      </w:pPr>
      <w:r>
        <w:t xml:space="preserve">Sander attributes part of the earlier decline at lower-ranked schools to bar passage accountability.</w:t>
      </w:r>
      <w:r>
        <w:rPr>
          <w:b/>
          <w:bCs/>
        </w:rPr>
        <w:t xml:space="preserve">ABA Standard 316</w:t>
      </w:r>
      <w:r>
        <w:t xml:space="preserve">is an accreditation standard requiring that at least 75 percent of a law school’s graduates who sit for a bar examination pass within a specified period after graduation, subject to the ABA’s enforcement process. In Sander’s account, heightened attention to bar passage placed pressure on lower-ranked law schools to reduce the admission of students whose entering credentials suggested a high risk of failing the bar, particularly where large preferences were associated with poor bar outcomes.</w:t>
      </w:r>
    </w:p>
    <w:p>
      <w:pPr>
        <w:spacing w:after="160"/>
      </w:pPr>
      <w:r>
        <w:t xml:space="preserve">Sander’s preliminary post-</w:t>
      </w:r>
      <w:r>
        <w:rPr>
          <w:b/>
          <w:bCs/>
        </w:rPr>
        <w:t xml:space="preserve">SFFA</w:t>
      </w:r>
      <w:r>
        <w:t xml:space="preserve">findings are that racial preferences in law school admissions declined substantially in the 2023–24 and 2024–25 admissions cycles. He estimates that Black preferences overall may have fallen to roughly half their prior size, and that Hispanic preferences may have fallen by at least as much at many institutions. He also notes that the overall number of Black and Hispanic law students did not collapse; rather, he reports that Black enrollment declined slightly at top-tier schools while rising somewhat at lower-tier schools, with overall Black enrollment increasing modestly across law schools. He attributes this partly to increased applications from Black and Hispanic students and partly to what he calls a “cascade effect,” in which students who previously would have enrolled at the most elite schools instead enroll at somewhat less elite but still competitive schools.</w:t>
      </w:r>
    </w:p>
    <w:p>
      <w:pPr>
        <w:pStyle w:val="Heading2"/>
        <w:spacing w:after="120" w:before="240"/>
      </w:pPr>
      <w:r>
        <w:rPr>
          <w:b/>
          <w:bCs/>
        </w:rPr>
        <w:t xml:space="preserve">The Mismatch Hypothesis</w:t>
      </w:r>
    </w:p>
    <w:p>
      <w:pPr>
        <w:spacing w:after="160"/>
      </w:pPr>
      <w:r>
        <w:t xml:space="preserve">The central substantive issue is Sander’s mismatch hypothesis. The</w:t>
      </w:r>
      <w:r>
        <w:rPr>
          <w:b/>
          <w:bCs/>
        </w:rPr>
        <w:t xml:space="preserve">mismatch hypothesis</w:t>
      </w:r>
      <w:r>
        <w:t xml:space="preserve">is the empirical claim that a student admitted with a large credential disparity relative to classmates may learn less, receive lower grades, have reduced bar passage prospects, and experience weaker professional outcomes than that same student would have experienced at a school where the student’s credentials were closer to the institutional median. Sander emphasizes that the hypothesis is not merely that students receiving preferences will cluster lower in the grade distribution; rather, the claim is that the educational environment itself may produce worse outcomes than a less elite placement would have produced.</w:t>
      </w:r>
    </w:p>
    <w:p>
      <w:pPr>
        <w:spacing w:after="160"/>
      </w:pPr>
      <w:r>
        <w:t xml:space="preserve">Sander identifies law school grades as the most immediate indicator. He describes earlier research using Law School Admission Council data from the 1990s, in which he found that a large proportion of Black law students were clustered near the bottom of their classes. He states that this pattern was not attributable to race itself, but to the size of preferences, and he notes that large preferences for non-minority students—such as students with disabilities, older students, or students admitted for other institutional reasons—could produce similar academic patterns. The point, in his account, is that large admissions preferences of any kind may predict weaker relative academic performance.</w:t>
      </w:r>
    </w:p>
    <w:p>
      <w:pPr>
        <w:spacing w:after="160"/>
      </w:pPr>
      <w:r>
        <w:t xml:space="preserve">Bar passage is the second major outcome. Sander argues that bar examinations provide a cross-institutional measure because students from many law schools sit for the same state bar exam. The</w:t>
      </w:r>
      <w:r>
        <w:rPr>
          <w:b/>
          <w:bCs/>
        </w:rPr>
        <w:t xml:space="preserve">bar examination</w:t>
      </w:r>
      <w:r>
        <w:t xml:space="preserve">is a licensing examination administered by a state or jurisdiction to assess whether an applicant has the minimum competence required for admission to the practice of law. In Sander’s view, students with similar entering credentials have materially different bar outcomes depending on whether they are heavily mismatched, and he predicts that reduced preferences after</w:t>
      </w:r>
      <w:r>
        <w:rPr>
          <w:b/>
          <w:bCs/>
        </w:rPr>
        <w:t xml:space="preserve">SFFA</w:t>
      </w:r>
      <w:r>
        <w:t xml:space="preserve">will be followed by improved Black bar passage rates beginning most visibly around 2028, when students admitted under the new patterns begin taking the bar.</w:t>
      </w:r>
    </w:p>
    <w:p>
      <w:pPr>
        <w:spacing w:after="160"/>
      </w:pPr>
      <w:r>
        <w:t xml:space="preserve">The third outcome discussed is professional success, particularly within large law firms. Sander cites research using University of Michigan alumni data and argues that law school GPA strongly predicted whether associates at larger firms became partners at their original firms. He also contends that students who performed very well at less elite schools may have stronger long-term outcomes in firm practice than similarly credentialed students who attended more elite schools but graduated with weaker academic records. This portion of the discussion is presented as an empirical claim about training, performance, and professional development rather than as a legal rule.</w:t>
      </w:r>
    </w:p>
    <w:p>
      <w:pPr>
        <w:pStyle w:val="Heading2"/>
        <w:spacing w:after="120" w:before="240"/>
      </w:pPr>
      <w:r>
        <w:rPr>
          <w:b/>
          <w:bCs/>
        </w:rPr>
        <w:t xml:space="preserve">Implications for Law Firms and Employment Practices</w:t>
      </w:r>
    </w:p>
    <w:p>
      <w:pPr>
        <w:spacing w:after="160"/>
      </w:pPr>
      <w:r>
        <w:t xml:space="preserve">The discussion then turns to law firm diversity efforts after</w:t>
      </w:r>
      <w:r>
        <w:rPr>
          <w:b/>
          <w:bCs/>
        </w:rPr>
        <w:t xml:space="preserve">SFFA</w:t>
      </w:r>
      <w:r>
        <w:t xml:space="preserve">. Sander states that the Supreme Court has not specifically extended</w:t>
      </w:r>
      <w:r>
        <w:rPr>
          <w:b/>
          <w:bCs/>
        </w:rPr>
        <w:t xml:space="preserve">SFFA</w:t>
      </w:r>
      <w:r>
        <w:t xml:space="preserve">to the employment context, while acknowledging that race-focused employment preferences could become the subject of future litigation.</w:t>
      </w:r>
      <w:r>
        <w:rPr>
          <w:b/>
          <w:bCs/>
        </w:rPr>
        <w:t xml:space="preserve">Title VII of the Civil Rights Act of 1964</w:t>
      </w:r>
      <w:r>
        <w:t xml:space="preserve">prohibits employers from discriminating in employment on the basis of race, color, religion, sex, or national origin. Although the transcript does not analyze Title VII doctrine in detail, the subject is reasonably implicated when law firms consider race-conscious hiring, assignment, mentoring, or promotion programs.</w:t>
      </w:r>
    </w:p>
    <w:p>
      <w:pPr>
        <w:spacing w:after="160"/>
      </w:pPr>
      <w:r>
        <w:t xml:space="preserve">Sander’s advice to law firms is practical rather than doctrinal: if firms seek to improve diversity, they should focus less on admissions-style preferences and more on training, mentorship, and pipeline development. He suggests that if a firm hires associates who may not have had comparable access to elite educational or professional preparation, the firm should provide structured mentorship, challenging assignments, supervision, and feedback over the first several years. In his view, this approach addresses the professional development problem directly and may be less legally vulnerable if framed around disadvantage, opportunity, and preparation rather than limited to particular racial categories.</w:t>
      </w:r>
    </w:p>
    <w:p>
      <w:pPr>
        <w:spacing w:after="160"/>
      </w:pPr>
      <w:r>
        <w:t xml:space="preserve">The discussion also addresses race-neutral pipeline programs. Sander gives the example of offering a rigorous law-school-style course at an institution with a large population of students from underrepresented backgrounds and guaranteeing admission to students who perform at a high level. He argues that such a program would be constitutionally permissible because eligibility would not be allocated by race, even if the selected partner institution had a more diverse student body. This approach is conceptually aligned with class- or disadvantage-based outreach, but Sander cautions that large socioeconomic preferences can also create mismatch concerns if they are not paired with meaningful preparation and support.</w:t>
      </w:r>
    </w:p>
    <w:p>
      <w:pPr>
        <w:pStyle w:val="Heading2"/>
        <w:spacing w:after="120" w:before="240"/>
      </w:pPr>
      <w:r>
        <w:rPr>
          <w:b/>
          <w:bCs/>
        </w:rPr>
        <w:t xml:space="preserve">Transparency, Public Records, and Institutional Data</w:t>
      </w:r>
    </w:p>
    <w:p>
      <w:pPr>
        <w:spacing w:after="160"/>
      </w:pPr>
      <w:r>
        <w:t xml:space="preserve">A recurring theme is access to data. Sander argues that meaningful evaluation of admissions policies, mismatch effects, and post-</w:t>
      </w:r>
      <w:r>
        <w:rPr>
          <w:b/>
          <w:bCs/>
        </w:rPr>
        <w:t xml:space="preserve">SFFA</w:t>
      </w:r>
      <w:r>
        <w:t xml:space="preserve">compliance depends on institutional transparency. He describes earlier efforts to obtain law school and bar passage data through public records requests and litigation, including an effort involving California bar data. The</w:t>
      </w:r>
      <w:r>
        <w:rPr>
          <w:b/>
          <w:bCs/>
        </w:rPr>
        <w:t xml:space="preserve">California Public Records Act</w:t>
      </w:r>
      <w:r>
        <w:t xml:space="preserve">generally provides a right of access to records of state and local agencies, subject to statutory exemptions and privacy protections. Sander states that researchers obtained a favorable California Supreme Court ruling that certain bar-related data were subject to disclosure, but that the California Legislature later amended governing law to restrict access to that data.</w:t>
      </w:r>
    </w:p>
    <w:p>
      <w:pPr>
        <w:spacing w:after="160"/>
      </w:pPr>
      <w:r>
        <w:t xml:space="preserve">For practicing attorneys, this aspect of the discussion raises familiar legal and institutional tensions: public accountability, privacy, educational records, litigation risk, and the governance of professional licensing data. The transcript does not provide sufficient detail to evaluate the merits of any particular public records dispute, but it highlights the practical importance of data access in contested areas of civil rights policy. Without individual-level data, Sander argues, debates about admissions preferences and bar passage effects remain more difficult to resolve.</w:t>
      </w:r>
    </w:p>
    <w:p>
      <w:pPr>
        <w:pStyle w:val="Heading2"/>
        <w:spacing w:after="120" w:before="240"/>
      </w:pPr>
      <w:r>
        <w:rPr>
          <w:b/>
          <w:bCs/>
        </w:rPr>
        <w:t xml:space="preserve">Professional Context and CLE Takeaways</w:t>
      </w:r>
    </w:p>
    <w:p>
      <w:pPr>
        <w:spacing w:after="160"/>
      </w:pPr>
      <w:r>
        <w:t xml:space="preserve">The program presents Professor Sander as a scholar whose work has influenced litigation and public debate over affirmative action. He states that he was an informal, unpaid consultant to Students for Fair Admissions and participated in early discussions concerning litigation strategy, including the possible role of Asian American applicants and admissions data from the University of North Carolina. He also notes that his work has been cited in Supreme Court discussions of affirmative action and mismatch, while acknowledging that his empirical claims have been contested by other scholars.</w:t>
      </w:r>
    </w:p>
    <w:p>
      <w:pPr>
        <w:spacing w:after="160"/>
      </w:pPr>
      <w:r>
        <w:t xml:space="preserve">For lawyers, the principal CLE value of the discussion is not to resolve the empirical debate, but to understand the legal and institutional questions now facing universities, law schools, employers, and the profession.</w:t>
      </w:r>
      <w:r>
        <w:rPr>
          <w:b/>
          <w:bCs/>
        </w:rPr>
        <w:t xml:space="preserve">SFFA</w:t>
      </w:r>
      <w:r>
        <w:t xml:space="preserve">has materially altered the legal environment for higher education admissions;</w:t>
      </w:r>
      <w:r>
        <w:rPr>
          <w:b/>
          <w:bCs/>
        </w:rPr>
        <w:t xml:space="preserve">Proposition 209</w:t>
      </w:r>
      <w:r>
        <w:t xml:space="preserve">remains a significant state-law model for prohibiting public-sector preferences;</w:t>
      </w:r>
      <w:r>
        <w:rPr>
          <w:b/>
          <w:bCs/>
        </w:rPr>
        <w:t xml:space="preserve">ABA Standard 316</w:t>
      </w:r>
      <w:r>
        <w:t xml:space="preserve">links admissions choices to accreditation consequences through bar passage outcomes; and employment diversity efforts must be evaluated against Title VII and related anti-discrimination principles. Sander’s central recommendation is that institutions concerned with diversity should shift emphasis toward pipeline development, preparation, mentoring, and transparent assessment of outcomes.</w:t>
      </w:r>
    </w:p>
    <w:p>
      <w:pPr>
        <w:spacing w:after="160"/>
      </w:pPr>
      <w:r>
        <w:t xml:space="preserve">Professor Richard Sander is a professor at UCLA School of Law and a Ph.D. economist whose scholarship focuses on race, legal education, affirmative action, housing segregation, and empirical legal studies. His work on the mismatch hypothesis remains influential and contested, making it an important subject for attorneys seeking to understand the legal, empirical, and professional debates surrounding affirmative action after</w:t>
      </w:r>
      <w:r>
        <w:rPr>
          <w:b/>
          <w:bCs/>
        </w:rPr>
        <w:t xml:space="preserve">Students for Fair Admissions</w:t>
      </w:r>
      <w:r>
        <w:t xml:space="preserv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Open Sans" w:cs="Open Sans" w:eastAsia="Open Sans" w:hAnsi="Open Sans"/>
        <w:color w:val="999999"/>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Montserrat" w:cs="Montserrat" w:eastAsia="Montserrat" w:hAnsi="Montserrat"/>
        <w:color w:val="999999"/>
        <w:sz w:val="16"/>
        <w:szCs w:val="16"/>
      </w:rPr>
      <w:t xml:space="preserve">TalksOnLaw — Written Materials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cs="Open Sans" w:eastAsia="Open Sans" w:hAnsi="Open Sans"/>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pPr>
    <w:rPr>
      <w:rFonts w:ascii="Montserrat" w:cs="Montserrat" w:eastAsia="Montserrat" w:hAnsi="Montserrat"/>
      <w:b/>
      <w:bCs/>
      <w:sz w:val="36"/>
      <w:szCs w:val="36"/>
    </w:rPr>
  </w:style>
  <w:style w:type="paragraph" w:styleId="Heading2">
    <w:name w:val="Heading 2"/>
    <w:basedOn w:val="Normal"/>
    <w:next w:val="Normal"/>
    <w:qFormat/>
    <w:pPr>
      <w:spacing w:after="120" w:before="200"/>
    </w:pPr>
    <w:rPr>
      <w:rFonts w:ascii="Montserrat" w:cs="Montserrat" w:eastAsia="Montserrat" w:hAnsi="Montserrat"/>
      <w:b/>
      <w:bCs/>
      <w:sz w:val="30"/>
      <w:szCs w:val="30"/>
    </w:rPr>
  </w:style>
  <w:style w:type="paragraph" w:styleId="Heading3">
    <w:name w:val="Heading 3"/>
    <w:basedOn w:val="Normal"/>
    <w:next w:val="Normal"/>
    <w:qFormat/>
    <w:pPr>
      <w:spacing w:after="100" w:before="160"/>
    </w:pPr>
    <w:rPr>
      <w:rFonts w:ascii="Montserrat" w:cs="Montserrat" w:eastAsia="Montserrat" w:hAnsi="Montserrat"/>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2026-05-05T05:44:18.948Z</dcterms:created>
  <dcterms:modified xsi:type="dcterms:W3CDTF">2026-05-05T05:44:18.948Z</dcterms:modified>
</cp:coreProperties>
</file>

<file path=docProps/custom.xml><?xml version="1.0" encoding="utf-8"?>
<Properties xmlns="http://schemas.openxmlformats.org/officeDocument/2006/custom-properties" xmlns:vt="http://schemas.openxmlformats.org/officeDocument/2006/docPropsVTypes"/>
</file>